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96" w:rsidRDefault="00DE3796" w:rsidP="0068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</w:p>
    <w:p w:rsidR="00F50807" w:rsidRPr="002A5E0B" w:rsidRDefault="002A5E0B" w:rsidP="0068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  <w:r w:rsidRPr="002A5E0B"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78280" wp14:editId="79C621AB">
                <wp:simplePos x="0" y="0"/>
                <wp:positionH relativeFrom="column">
                  <wp:posOffset>3830574</wp:posOffset>
                </wp:positionH>
                <wp:positionV relativeFrom="paragraph">
                  <wp:posOffset>112319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01.6pt;margin-top:8.85pt;width:228.7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UlnsA+AAAAAL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r w:rsidR="007A524E" w:rsidRPr="002A5E0B">
        <w:rPr>
          <w:rFonts w:ascii="Times New Roman" w:hAnsi="Times New Roman" w:cs="Times New Roman"/>
          <w:bCs/>
          <w:szCs w:val="16"/>
        </w:rPr>
        <w:t xml:space="preserve"> </w:t>
      </w:r>
      <w:r w:rsidR="00F50807" w:rsidRPr="002A5E0B">
        <w:rPr>
          <w:rFonts w:ascii="Times New Roman" w:hAnsi="Times New Roman" w:cs="Times New Roman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300A2E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</w:t>
            </w:r>
            <w:r w:rsidR="002A5E0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rupa Działania „Vistula-Terra </w:t>
            </w:r>
            <w:proofErr w:type="spellStart"/>
            <w:r w:rsidR="002A5E0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Culmensis</w:t>
            </w:r>
            <w:proofErr w:type="spellEnd"/>
            <w:r w:rsidR="002A5E0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-Rozwój przez Tradycję”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300A2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</w:t>
                  </w:r>
                  <w:r w:rsidR="00F50807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F66EFF" w:rsidRPr="00F66EFF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22547" w:rsidRPr="00F66EFF" w:rsidRDefault="00522547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F66EFF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522547" w:rsidRPr="00F66EFF" w:rsidRDefault="000F6E2D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F66EFF">
                    <w:rPr>
                      <w:rFonts w:ascii="Arial Narrow" w:hAnsi="Arial Narrow"/>
                      <w:sz w:val="20"/>
                      <w:szCs w:val="20"/>
                    </w:rPr>
                    <w:t>u</w:t>
                  </w:r>
                  <w:r w:rsidR="00522547" w:rsidRPr="00F66EFF">
                    <w:rPr>
                      <w:rFonts w:ascii="Arial Narrow" w:hAnsi="Arial Narrow"/>
                      <w:sz w:val="20"/>
                      <w:szCs w:val="20"/>
                    </w:rPr>
                    <w:t>stalenie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522547">
        <w:trPr>
          <w:trHeight w:val="1408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522547">
        <w:trPr>
          <w:trHeight w:val="210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522547">
        <w:trPr>
          <w:trHeight w:val="1697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22547" w:rsidRPr="004604E4" w:rsidTr="00522547">
        <w:trPr>
          <w:trHeight w:val="2260"/>
        </w:trPr>
        <w:tc>
          <w:tcPr>
            <w:tcW w:w="10915" w:type="dxa"/>
            <w:gridSpan w:val="2"/>
          </w:tcPr>
          <w:p w:rsidR="00522547" w:rsidRPr="00331774" w:rsidRDefault="0052254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F66EF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</w:t>
            </w:r>
            <w:r w:rsidR="00E96BBE" w:rsidRPr="00F66EF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niższej</w:t>
            </w:r>
            <w:r w:rsidRPr="00F66EFF">
              <w:rPr>
                <w:rFonts w:ascii="Arial Narrow" w:hAnsi="Arial Narrow" w:cs="TimesNewRomanPS-BoldMT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66EF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 wsparcia niż wnioskowana</w:t>
            </w:r>
            <w:r w:rsidRPr="00F66EFF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F66EF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A60D00" w:rsidRDefault="00A60D00" w:rsidP="00A60D00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74DFB" w:rsidRPr="00DA5794" w:rsidRDefault="00752569" w:rsidP="0075256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EB570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74DFB"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>Pouczenie:</w:t>
      </w:r>
    </w:p>
    <w:p w:rsidR="00C74DFB" w:rsidRPr="00DA5794" w:rsidRDefault="00C74DFB" w:rsidP="0075256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74DFB" w:rsidRPr="00DA5794" w:rsidRDefault="00C74DFB" w:rsidP="00752569">
      <w:pPr>
        <w:spacing w:line="240" w:lineRule="auto"/>
        <w:ind w:left="10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Wnioskodawcy przysługuje prawo wycofania protestu od decyzji Rady LGD do czasu zakończenia rozpatrywania protestu przez  ZW. </w:t>
      </w:r>
      <w:r w:rsidR="00752569"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</w:t>
      </w: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>Wycofanie protestu następuje przez złożenie pisemnego oświadczenia  za pośrednictwem LGD.</w:t>
      </w:r>
      <w:r w:rsidR="00752569"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wycofania protestu przez wnioskodawcę, LGD: </w:t>
      </w:r>
      <w:r w:rsidR="00752569"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>1) pozostawia protest bez rozpatrzenia, informując o tym wnioskodawc</w:t>
      </w:r>
      <w:bookmarkStart w:id="0" w:name="_GoBack"/>
      <w:bookmarkEnd w:id="0"/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ę  w formie pisemnej; </w:t>
      </w:r>
    </w:p>
    <w:p w:rsidR="00C74DFB" w:rsidRPr="00DA5794" w:rsidRDefault="00C74DFB" w:rsidP="00752569">
      <w:pPr>
        <w:spacing w:line="240" w:lineRule="auto"/>
        <w:ind w:left="10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2) przekazuje do ZW informację o wycofanym proteście wraz z przekazaniem Oświadczenia o wycofaniu protestu.  </w:t>
      </w:r>
    </w:p>
    <w:p w:rsidR="00A60D00" w:rsidRPr="00DA5794" w:rsidRDefault="00C74DFB" w:rsidP="00DA5794">
      <w:pPr>
        <w:spacing w:line="240" w:lineRule="auto"/>
        <w:ind w:left="10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ZW po otrzymaniu Oświadczenia o wycofaniu protestu pozostawia protest bez rozpatrzenia, informując o tym Wnioskodawcę w formie pisemnej. </w:t>
      </w:r>
      <w:r w:rsidR="00752569"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</w:t>
      </w: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>W przypadku wycofania protestu ponowne jego wniesienie jest niedopuszczalne.</w:t>
      </w:r>
      <w:r w:rsidR="00752569"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DA5794">
        <w:rPr>
          <w:rFonts w:ascii="Times New Roman" w:hAnsi="Times New Roman" w:cs="Times New Roman"/>
          <w:color w:val="000000" w:themeColor="text1"/>
          <w:sz w:val="16"/>
          <w:szCs w:val="16"/>
        </w:rPr>
        <w:t>W przypadku wycofania protestu wnioskodawca nie może wnieść skargi do sądu administracyjnego</w:t>
      </w:r>
      <w:r w:rsidR="00DA57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sectPr w:rsidR="00A60D00" w:rsidRPr="00DA5794" w:rsidSect="00A60D00">
      <w:headerReference w:type="default" r:id="rId8"/>
      <w:headerReference w:type="first" r:id="rId9"/>
      <w:footerReference w:type="first" r:id="rId10"/>
      <w:pgSz w:w="11906" w:h="16838"/>
      <w:pgMar w:top="1134" w:right="424" w:bottom="426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F0" w:rsidRDefault="00DB01F0" w:rsidP="004604E4">
      <w:pPr>
        <w:spacing w:after="0" w:line="240" w:lineRule="auto"/>
      </w:pPr>
      <w:r>
        <w:separator/>
      </w:r>
    </w:p>
  </w:endnote>
  <w:endnote w:type="continuationSeparator" w:id="0">
    <w:p w:rsidR="00DB01F0" w:rsidRDefault="00DB01F0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576903"/>
      <w:docPartObj>
        <w:docPartGallery w:val="Page Numbers (Bottom of Page)"/>
        <w:docPartUnique/>
      </w:docPartObj>
    </w:sdtPr>
    <w:sdtEndPr/>
    <w:sdtContent>
      <w:p w:rsidR="00B863C5" w:rsidRDefault="00B863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C3">
          <w:rPr>
            <w:noProof/>
          </w:rPr>
          <w:t>1</w:t>
        </w:r>
        <w:r>
          <w:fldChar w:fldCharType="end"/>
        </w:r>
        <w:r w:rsidR="00DE3796">
          <w:rPr>
            <w:noProof/>
          </w:rPr>
          <w:drawing>
            <wp:inline distT="0" distB="0" distL="0" distR="0">
              <wp:extent cx="2642870" cy="545912"/>
              <wp:effectExtent l="0" t="0" r="508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6814" cy="548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92DB8" w:rsidRDefault="00992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F0" w:rsidRDefault="00DB01F0" w:rsidP="004604E4">
      <w:pPr>
        <w:spacing w:after="0" w:line="240" w:lineRule="auto"/>
      </w:pPr>
      <w:r>
        <w:separator/>
      </w:r>
    </w:p>
  </w:footnote>
  <w:footnote w:type="continuationSeparator" w:id="0">
    <w:p w:rsidR="00DB01F0" w:rsidRDefault="00DB01F0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Pr="000F6E2D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color w:val="000000" w:themeColor="text1"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</w:t>
      </w:r>
      <w:r w:rsidRPr="000F6E2D">
        <w:rPr>
          <w:rFonts w:ascii="Arial Narrow" w:hAnsi="Arial Narrow" w:cs="Times New Roman"/>
          <w:bCs/>
          <w:color w:val="000000" w:themeColor="text1"/>
          <w:sz w:val="20"/>
          <w:szCs w:val="16"/>
        </w:rPr>
        <w:t xml:space="preserve">sprawie wraz z uzasadnieniem tego stanowiska. </w:t>
      </w:r>
      <w:r w:rsidRPr="000F6E2D">
        <w:rPr>
          <w:rFonts w:ascii="Arial Narrow" w:hAnsi="Arial Narrow" w:cs="Times New Roman"/>
          <w:b/>
          <w:bCs/>
          <w:color w:val="000000" w:themeColor="text1"/>
          <w:sz w:val="20"/>
          <w:szCs w:val="16"/>
        </w:rPr>
        <w:t>Pozostawić n</w:t>
      </w:r>
      <w:r w:rsidR="009B0FEA" w:rsidRPr="000F6E2D">
        <w:rPr>
          <w:rFonts w:ascii="Arial Narrow" w:hAnsi="Arial Narrow" w:cs="Times New Roman"/>
          <w:b/>
          <w:bCs/>
          <w:color w:val="000000" w:themeColor="text1"/>
          <w:sz w:val="20"/>
          <w:szCs w:val="16"/>
        </w:rPr>
        <w:t>iewypełnione</w:t>
      </w:r>
      <w:r w:rsidR="000C529E" w:rsidRPr="000F6E2D">
        <w:rPr>
          <w:rFonts w:ascii="Arial Narrow" w:hAnsi="Arial Narrow" w:cs="Times New Roman"/>
          <w:b/>
          <w:bCs/>
          <w:color w:val="000000" w:themeColor="text1"/>
          <w:sz w:val="20"/>
          <w:szCs w:val="16"/>
        </w:rPr>
        <w:t>,</w:t>
      </w:r>
      <w:r w:rsidR="009B0FEA" w:rsidRPr="000F6E2D">
        <w:rPr>
          <w:rFonts w:ascii="Arial Narrow" w:hAnsi="Arial Narrow" w:cs="Times New Roman"/>
          <w:b/>
          <w:bCs/>
          <w:color w:val="000000" w:themeColor="text1"/>
          <w:sz w:val="20"/>
          <w:szCs w:val="16"/>
        </w:rPr>
        <w:t xml:space="preserve"> jeżeli nie dotyczy</w:t>
      </w:r>
    </w:p>
    <w:p w:rsidR="0020314A" w:rsidRPr="00F66EFF" w:rsidRDefault="00522547" w:rsidP="0020314A">
      <w:pPr>
        <w:pStyle w:val="Default"/>
        <w:spacing w:before="120"/>
        <w:jc w:val="both"/>
        <w:rPr>
          <w:color w:val="auto"/>
          <w:sz w:val="16"/>
          <w:szCs w:val="16"/>
        </w:rPr>
      </w:pPr>
      <w:r w:rsidRPr="00F66EFF">
        <w:rPr>
          <w:rFonts w:ascii="Arial Narrow" w:hAnsi="Arial Narrow"/>
          <w:b/>
          <w:bCs/>
          <w:color w:val="auto"/>
          <w:sz w:val="20"/>
          <w:szCs w:val="16"/>
          <w:vertAlign w:val="superscript"/>
        </w:rPr>
        <w:t xml:space="preserve">4  </w:t>
      </w:r>
      <w:r w:rsidRPr="00F66EFF">
        <w:rPr>
          <w:rFonts w:ascii="Arial Narrow" w:hAnsi="Arial Narrow"/>
          <w:b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20314A" w:rsidRPr="00F66EFF">
        <w:rPr>
          <w:rFonts w:ascii="Arial Narrow" w:hAnsi="Arial Narrow"/>
          <w:b/>
          <w:bCs/>
          <w:color w:val="auto"/>
          <w:sz w:val="20"/>
          <w:szCs w:val="16"/>
        </w:rPr>
        <w:t>wsparcia oraz szczegółowo</w:t>
      </w:r>
      <w:r w:rsidR="00E96BBE" w:rsidRPr="00F66EFF">
        <w:rPr>
          <w:rFonts w:ascii="Arial Narrow" w:hAnsi="Arial Narrow"/>
          <w:b/>
          <w:bCs/>
          <w:color w:val="auto"/>
          <w:sz w:val="20"/>
          <w:szCs w:val="16"/>
        </w:rPr>
        <w:t xml:space="preserve"> uzasadnić przyjęty poziom cen dla kosztu, który został obniżony lub uznany za niekwalifikowalny. </w:t>
      </w:r>
    </w:p>
    <w:p w:rsidR="00522547" w:rsidRPr="00C071F2" w:rsidRDefault="00522547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C5" w:rsidRDefault="00B863C5">
    <w:pPr>
      <w:pStyle w:val="Nagwek"/>
    </w:pPr>
  </w:p>
  <w:p w:rsidR="0019243C" w:rsidRDefault="00DE3796">
    <w:pPr>
      <w:pStyle w:val="Nagwek"/>
    </w:pPr>
    <w:r>
      <w:rPr>
        <w:noProof/>
      </w:rPr>
      <w:drawing>
        <wp:inline distT="0" distB="0" distL="0" distR="0">
          <wp:extent cx="6833870" cy="816610"/>
          <wp:effectExtent l="0" t="0" r="508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87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37F"/>
    <w:multiLevelType w:val="hybridMultilevel"/>
    <w:tmpl w:val="CB52A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CD5"/>
    <w:multiLevelType w:val="hybridMultilevel"/>
    <w:tmpl w:val="97D683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07"/>
    <w:rsid w:val="00096C82"/>
    <w:rsid w:val="000C529E"/>
    <w:rsid w:val="000D2D42"/>
    <w:rsid w:val="000F6E2D"/>
    <w:rsid w:val="000F72B1"/>
    <w:rsid w:val="001578ED"/>
    <w:rsid w:val="001638CA"/>
    <w:rsid w:val="00164952"/>
    <w:rsid w:val="0019243C"/>
    <w:rsid w:val="001B074E"/>
    <w:rsid w:val="0020314A"/>
    <w:rsid w:val="002259C3"/>
    <w:rsid w:val="0027153B"/>
    <w:rsid w:val="00280DEF"/>
    <w:rsid w:val="002A5E0B"/>
    <w:rsid w:val="00300A2E"/>
    <w:rsid w:val="00331774"/>
    <w:rsid w:val="00341701"/>
    <w:rsid w:val="00381AEE"/>
    <w:rsid w:val="003A4F66"/>
    <w:rsid w:val="00422F68"/>
    <w:rsid w:val="00440317"/>
    <w:rsid w:val="004604E4"/>
    <w:rsid w:val="004B6CE6"/>
    <w:rsid w:val="004C4A5A"/>
    <w:rsid w:val="00522547"/>
    <w:rsid w:val="005723A4"/>
    <w:rsid w:val="005A7DA0"/>
    <w:rsid w:val="005D6082"/>
    <w:rsid w:val="00622DCB"/>
    <w:rsid w:val="00682B79"/>
    <w:rsid w:val="00692CDD"/>
    <w:rsid w:val="006D3F36"/>
    <w:rsid w:val="007049D9"/>
    <w:rsid w:val="007262C3"/>
    <w:rsid w:val="00752569"/>
    <w:rsid w:val="00773729"/>
    <w:rsid w:val="007A524E"/>
    <w:rsid w:val="007B6BC1"/>
    <w:rsid w:val="008739F4"/>
    <w:rsid w:val="00905809"/>
    <w:rsid w:val="00992DB8"/>
    <w:rsid w:val="009B0FEA"/>
    <w:rsid w:val="009C0AD3"/>
    <w:rsid w:val="009F6815"/>
    <w:rsid w:val="00A1556B"/>
    <w:rsid w:val="00A278AC"/>
    <w:rsid w:val="00A467C9"/>
    <w:rsid w:val="00A60D00"/>
    <w:rsid w:val="00B57F76"/>
    <w:rsid w:val="00B863C5"/>
    <w:rsid w:val="00B92D20"/>
    <w:rsid w:val="00C06156"/>
    <w:rsid w:val="00C071F2"/>
    <w:rsid w:val="00C74DFB"/>
    <w:rsid w:val="00CD25D0"/>
    <w:rsid w:val="00D10047"/>
    <w:rsid w:val="00D14D8C"/>
    <w:rsid w:val="00DA5794"/>
    <w:rsid w:val="00DB01F0"/>
    <w:rsid w:val="00DE3796"/>
    <w:rsid w:val="00E2403D"/>
    <w:rsid w:val="00E6471E"/>
    <w:rsid w:val="00E96BBE"/>
    <w:rsid w:val="00EB570E"/>
    <w:rsid w:val="00EE546F"/>
    <w:rsid w:val="00F50807"/>
    <w:rsid w:val="00F66EFF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E1BFA"/>
  <w15:docId w15:val="{587F49F2-0622-4EC1-98C8-C78DA27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2031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4DF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74DF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896193-DB4F-4C03-BA28-7502C7C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ILONA LINCZOWSKA</cp:lastModifiedBy>
  <cp:revision>24</cp:revision>
  <cp:lastPrinted>2018-04-20T11:58:00Z</cp:lastPrinted>
  <dcterms:created xsi:type="dcterms:W3CDTF">2016-10-03T16:11:00Z</dcterms:created>
  <dcterms:modified xsi:type="dcterms:W3CDTF">2020-02-07T10:39:00Z</dcterms:modified>
</cp:coreProperties>
</file>