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AEBC3" w14:textId="06D42E74" w:rsidR="00EC2C5A" w:rsidRPr="006B7FFA" w:rsidRDefault="00000000" w:rsidP="006B7FFA">
      <w:pPr>
        <w:spacing w:after="0" w:line="276" w:lineRule="auto"/>
        <w:ind w:left="0" w:firstLine="0"/>
        <w:rPr>
          <w:sz w:val="22"/>
        </w:rPr>
      </w:pPr>
      <w:r w:rsidRPr="006B7FFA">
        <w:rPr>
          <w:sz w:val="22"/>
        </w:rPr>
        <w:t xml:space="preserve">Załącznik nr </w:t>
      </w:r>
      <w:r w:rsidR="003C6835">
        <w:rPr>
          <w:sz w:val="22"/>
        </w:rPr>
        <w:t>8</w:t>
      </w:r>
      <w:r w:rsidRPr="006B7FFA">
        <w:rPr>
          <w:sz w:val="22"/>
        </w:rPr>
        <w:t xml:space="preserve"> do </w:t>
      </w:r>
      <w:r w:rsidR="006B7FFA" w:rsidRPr="006B7FFA">
        <w:rPr>
          <w:sz w:val="22"/>
        </w:rPr>
        <w:t>Ogłoszenia o naborze wniosków nr 01/EFS+/2025</w:t>
      </w:r>
    </w:p>
    <w:p w14:paraId="383BA60C" w14:textId="77777777" w:rsidR="006D55F5" w:rsidRPr="006B7FFA" w:rsidRDefault="006D55F5" w:rsidP="006B7FFA">
      <w:pPr>
        <w:spacing w:after="0" w:line="276" w:lineRule="auto"/>
        <w:ind w:left="0" w:firstLine="0"/>
        <w:rPr>
          <w:sz w:val="22"/>
        </w:rPr>
      </w:pPr>
    </w:p>
    <w:p w14:paraId="3BE441B8" w14:textId="185CF4B5" w:rsidR="00EC2C5A" w:rsidRPr="006B7FFA" w:rsidRDefault="00BF33D0" w:rsidP="006B7FFA">
      <w:pPr>
        <w:spacing w:after="0" w:line="276" w:lineRule="auto"/>
        <w:ind w:left="0" w:firstLine="0"/>
        <w:rPr>
          <w:sz w:val="22"/>
        </w:rPr>
      </w:pPr>
      <w:r w:rsidRPr="006B7FFA">
        <w:rPr>
          <w:sz w:val="22"/>
        </w:rPr>
        <w:t>Minimalny standard budżetu projektu</w:t>
      </w:r>
    </w:p>
    <w:p w14:paraId="3EB9F8D3" w14:textId="63FFBEEA" w:rsidR="00EC2C5A" w:rsidRPr="006B7FFA" w:rsidRDefault="00EC2C5A" w:rsidP="006B7FFA">
      <w:pPr>
        <w:spacing w:after="0" w:line="276" w:lineRule="auto"/>
        <w:ind w:left="0" w:firstLine="0"/>
        <w:rPr>
          <w:sz w:val="22"/>
        </w:rPr>
      </w:pPr>
    </w:p>
    <w:p w14:paraId="7F8B8D57" w14:textId="77777777" w:rsidR="00EC2C5A" w:rsidRPr="006B7FFA" w:rsidRDefault="00000000" w:rsidP="006B7FFA">
      <w:pPr>
        <w:numPr>
          <w:ilvl w:val="0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Przy planowaniu wydatków Wnioskodawca powinien kierować się zasadą, aby ujęty w budżecie koszt był niezbędny do realizacji celu projektu i został dokonany w sposób przejrzysty, racjonalny i efektywny, z zachowaniem zasad uzyskiwania najlepszych efektów z danych nakładów. </w:t>
      </w:r>
    </w:p>
    <w:p w14:paraId="08D73D5B" w14:textId="77777777" w:rsidR="00BF33D0" w:rsidRPr="006B7FFA" w:rsidRDefault="00000000" w:rsidP="006B7FFA">
      <w:pPr>
        <w:numPr>
          <w:ilvl w:val="0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Każdy zaplanowany w budżecie projektu koszt powinien zostać odpowiednio uzasadniony. </w:t>
      </w:r>
    </w:p>
    <w:p w14:paraId="1446F066" w14:textId="77777777" w:rsidR="00BF33D0" w:rsidRPr="006B7FFA" w:rsidRDefault="00BF33D0" w:rsidP="006B7FFA">
      <w:pPr>
        <w:numPr>
          <w:ilvl w:val="0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>Zaplanowane wydatki muszą być niezbędne i czy wynikają bezpośrednio z opisanych działań i przyczyniają się do osiągnięcia produktów projektu.</w:t>
      </w:r>
    </w:p>
    <w:p w14:paraId="4A25ACE3" w14:textId="77777777" w:rsidR="00BF33D0" w:rsidRPr="006B7FFA" w:rsidRDefault="00BF33D0" w:rsidP="006B7FFA">
      <w:pPr>
        <w:numPr>
          <w:ilvl w:val="0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>Zaplanowane wydatki musza być adekwatne do zakresu i specyfiki projektu, czasu jego realizacji oraz planowanych produktów projektu.</w:t>
      </w:r>
    </w:p>
    <w:p w14:paraId="0221B6AC" w14:textId="42CF86AB" w:rsidR="00BF33D0" w:rsidRPr="006B7FFA" w:rsidRDefault="00BF33D0" w:rsidP="006B7FFA">
      <w:pPr>
        <w:numPr>
          <w:ilvl w:val="0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>Zaplanowane wydatki w budżecie musza być zgodne ze standardami lub cenami rynkowymi towarów lub usług.</w:t>
      </w:r>
    </w:p>
    <w:p w14:paraId="4F049AD7" w14:textId="77777777" w:rsidR="00BF33D0" w:rsidRPr="006B7FFA" w:rsidRDefault="00BF33D0" w:rsidP="006B7FFA">
      <w:pPr>
        <w:numPr>
          <w:ilvl w:val="0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>Określone w projekcie nakłady finansowe muszą służą osiągnięciu możliwie najkorzystniejszych efektów realizacji zadań.</w:t>
      </w:r>
    </w:p>
    <w:p w14:paraId="40B5A307" w14:textId="60959815" w:rsidR="00BF33D0" w:rsidRPr="006B7FFA" w:rsidRDefault="00BF33D0" w:rsidP="006B7FFA">
      <w:pPr>
        <w:numPr>
          <w:ilvl w:val="0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Wydatki w budżecie należy odpowiednio uzasadnić. </w:t>
      </w:r>
    </w:p>
    <w:p w14:paraId="308AA666" w14:textId="77777777" w:rsidR="00EC2C5A" w:rsidRPr="006B7FFA" w:rsidRDefault="00000000" w:rsidP="006B7FFA">
      <w:pPr>
        <w:numPr>
          <w:ilvl w:val="0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Wszystkie kwoty w szczegółowym budżecie powinny być wykazane w złotych (do dwóch miejsc po przecinku).  </w:t>
      </w:r>
    </w:p>
    <w:p w14:paraId="521E558B" w14:textId="77777777" w:rsidR="00EC2C5A" w:rsidRPr="006B7FFA" w:rsidRDefault="00000000" w:rsidP="006B7FFA">
      <w:pPr>
        <w:numPr>
          <w:ilvl w:val="0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Wnioskodawca przedstawia w budżecie planowane koszty projektu w podziale na: </w:t>
      </w:r>
    </w:p>
    <w:p w14:paraId="70C4A211" w14:textId="3D171C43" w:rsidR="00EC2C5A" w:rsidRPr="006B7FFA" w:rsidRDefault="00000000" w:rsidP="006B7FFA">
      <w:pPr>
        <w:numPr>
          <w:ilvl w:val="2"/>
          <w:numId w:val="2"/>
        </w:numPr>
        <w:spacing w:after="0" w:line="276" w:lineRule="auto"/>
        <w:ind w:right="15" w:hanging="360"/>
        <w:rPr>
          <w:sz w:val="22"/>
        </w:rPr>
      </w:pPr>
      <w:r w:rsidRPr="006B7FFA">
        <w:rPr>
          <w:b/>
          <w:bCs/>
          <w:sz w:val="22"/>
        </w:rPr>
        <w:t>Koszty bezpośrednie</w:t>
      </w:r>
      <w:r w:rsidR="00BF33D0" w:rsidRPr="006B7FFA">
        <w:rPr>
          <w:sz w:val="22"/>
        </w:rPr>
        <w:t xml:space="preserve"> - </w:t>
      </w:r>
      <w:r w:rsidRPr="006B7FFA">
        <w:rPr>
          <w:sz w:val="22"/>
        </w:rPr>
        <w:t xml:space="preserve">koszty dotyczące realizacji zadania merytorycznego w projekcie. </w:t>
      </w:r>
    </w:p>
    <w:p w14:paraId="428A4795" w14:textId="72EBC1DE" w:rsidR="00EC2C5A" w:rsidRPr="006B7FFA" w:rsidRDefault="00000000" w:rsidP="006B7FFA">
      <w:pPr>
        <w:numPr>
          <w:ilvl w:val="2"/>
          <w:numId w:val="2"/>
        </w:numPr>
        <w:spacing w:after="0" w:line="276" w:lineRule="auto"/>
        <w:ind w:right="15" w:hanging="360"/>
        <w:rPr>
          <w:sz w:val="22"/>
        </w:rPr>
      </w:pPr>
      <w:r w:rsidRPr="006B7FFA">
        <w:rPr>
          <w:b/>
          <w:bCs/>
          <w:sz w:val="22"/>
        </w:rPr>
        <w:t>Koszty administracyjne</w:t>
      </w:r>
      <w:r w:rsidR="00BF33D0" w:rsidRPr="006B7FFA">
        <w:rPr>
          <w:sz w:val="22"/>
        </w:rPr>
        <w:t xml:space="preserve"> - </w:t>
      </w:r>
      <w:r w:rsidRPr="006B7FFA">
        <w:rPr>
          <w:sz w:val="22"/>
        </w:rPr>
        <w:t xml:space="preserve">koszty związane z obsługą projektu objętego dofinansowaniem i jego zarządzaniem przez Wnioskodawcę, do wysokości 20% kosztów zadań merytorycznych (niezależnie od źródła finansowania tych kosztów). </w:t>
      </w:r>
    </w:p>
    <w:p w14:paraId="3037E5EA" w14:textId="77777777" w:rsidR="00BF33D0" w:rsidRPr="006B7FFA" w:rsidRDefault="00BF33D0" w:rsidP="006B7FFA">
      <w:pPr>
        <w:spacing w:after="0" w:line="276" w:lineRule="auto"/>
        <w:ind w:left="708" w:right="15" w:firstLine="0"/>
        <w:rPr>
          <w:sz w:val="22"/>
        </w:rPr>
      </w:pPr>
    </w:p>
    <w:p w14:paraId="6BB352A7" w14:textId="77777777" w:rsidR="004A0EEA" w:rsidRPr="006B7FFA" w:rsidRDefault="004A0EEA" w:rsidP="006B7FFA">
      <w:pPr>
        <w:spacing w:after="0" w:line="276" w:lineRule="auto"/>
        <w:ind w:left="708" w:right="15" w:firstLine="0"/>
        <w:rPr>
          <w:sz w:val="22"/>
        </w:rPr>
      </w:pPr>
    </w:p>
    <w:p w14:paraId="4DE8FE10" w14:textId="6D5EDF8F" w:rsidR="00EC2C5A" w:rsidRPr="006B7FFA" w:rsidRDefault="00000000" w:rsidP="006B7FFA">
      <w:pPr>
        <w:spacing w:after="0" w:line="276" w:lineRule="auto"/>
        <w:ind w:left="708" w:right="15" w:firstLine="0"/>
        <w:rPr>
          <w:sz w:val="22"/>
        </w:rPr>
      </w:pPr>
      <w:r w:rsidRPr="006B7FFA">
        <w:rPr>
          <w:sz w:val="22"/>
        </w:rPr>
        <w:t xml:space="preserve">Koszty administracyjne stanowią w szczególności: </w:t>
      </w:r>
    </w:p>
    <w:p w14:paraId="7E678AF8" w14:textId="77777777" w:rsidR="00EC2C5A" w:rsidRPr="006B7FFA" w:rsidRDefault="00000000" w:rsidP="006B7FFA">
      <w:pPr>
        <w:numPr>
          <w:ilvl w:val="1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koszty koordynatora lub kierownika projektu oraz innego personelu bezpośrednio zaangażowanego w zarządzanie, rozliczanie, monitorowanie projektu lub prowadzenie innych działań administracyjnych w projekcie, w tym w szczególności koszty wynagrodzenia tych osób, ich delegacji służbowych i szkoleń oraz koszty związane z wdrażaniem polityki równych szans przez te osoby, </w:t>
      </w:r>
    </w:p>
    <w:p w14:paraId="654B4028" w14:textId="77777777" w:rsidR="00EC2C5A" w:rsidRPr="006B7FFA" w:rsidRDefault="00000000" w:rsidP="006B7FFA">
      <w:pPr>
        <w:numPr>
          <w:ilvl w:val="1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lastRenderedPageBreak/>
        <w:t xml:space="preserve">koszty zarządu (koszty wynagrodzenia osób uprawnionych do reprezentowania jednostki, których zakresy czynności nie są przypisane wyłącznie do projektu, np. kierownik jednostki), </w:t>
      </w:r>
    </w:p>
    <w:p w14:paraId="12E9264F" w14:textId="77777777" w:rsidR="00EC2C5A" w:rsidRPr="006B7FFA" w:rsidRDefault="00000000" w:rsidP="006B7FFA">
      <w:pPr>
        <w:numPr>
          <w:ilvl w:val="1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koszty personelu obsługowego (obsługa kadrowa, finansowa, administracyjna, sekretariat, kancelaria, obsługa prawna, w tym ta dotycząca zamówień) na potrzeby funkcjonowania jednostki, </w:t>
      </w:r>
    </w:p>
    <w:p w14:paraId="156F6E22" w14:textId="77777777" w:rsidR="00EC2C5A" w:rsidRPr="006B7FFA" w:rsidRDefault="00000000" w:rsidP="006B7FFA">
      <w:pPr>
        <w:numPr>
          <w:ilvl w:val="1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koszty obsługi księgowej (koszty wynagrodzenia osób księgujących wydatki w projekcie, w tym koszty zlecenia prowadzenia obsługi księgowej projektu biuru rachunkowemu), </w:t>
      </w:r>
    </w:p>
    <w:p w14:paraId="6EE0C220" w14:textId="77777777" w:rsidR="00EC2C5A" w:rsidRPr="006B7FFA" w:rsidRDefault="00000000" w:rsidP="006B7FFA">
      <w:pPr>
        <w:numPr>
          <w:ilvl w:val="1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koszty utrzymania powierzchni biurowych (czynsz, najem, opłaty administracyjne) związanych z obsługą administracyjną projektu, </w:t>
      </w:r>
    </w:p>
    <w:p w14:paraId="3F84332C" w14:textId="77777777" w:rsidR="00EC2C5A" w:rsidRPr="006B7FFA" w:rsidRDefault="00000000" w:rsidP="006B7FFA">
      <w:pPr>
        <w:numPr>
          <w:ilvl w:val="1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działania informacyjno-promocyjne projektu (np. zakup materiałów promocyjnych i informacyjnych, zakup ogłoszeń prasowych, utworzenie i prowadzenie strony internetowej o projekcie, oznakowanie projektu, plakaty, ulotki, itp.), </w:t>
      </w:r>
    </w:p>
    <w:p w14:paraId="4DABE80A" w14:textId="77777777" w:rsidR="00EC2C5A" w:rsidRPr="006B7FFA" w:rsidRDefault="00000000" w:rsidP="006B7FFA">
      <w:pPr>
        <w:numPr>
          <w:ilvl w:val="1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amortyzacja, najem lub zakup aktywów (środków trwałych i wartości niematerialnych i prawnych) używanych na potrzeby osób, o których mowa w lit. a - d, </w:t>
      </w:r>
    </w:p>
    <w:p w14:paraId="56F1A54B" w14:textId="77777777" w:rsidR="00EC2C5A" w:rsidRPr="006B7FFA" w:rsidRDefault="00000000" w:rsidP="006B7FFA">
      <w:pPr>
        <w:numPr>
          <w:ilvl w:val="1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opłaty za energię elektryczną, cieplną, gazową i wodę, opłaty przesyłowe, opłaty za odprowadzanie ścieków w zakresie związanym z obsługą administracyjną projektu, </w:t>
      </w:r>
    </w:p>
    <w:p w14:paraId="0F5F0A09" w14:textId="77777777" w:rsidR="00EC2C5A" w:rsidRPr="006B7FFA" w:rsidRDefault="00000000" w:rsidP="006B7FFA">
      <w:pPr>
        <w:numPr>
          <w:ilvl w:val="1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koszty usług pocztowych, telefonicznych, internetowych, kurierskich związanych z obsługą administracyjną projektu, </w:t>
      </w:r>
    </w:p>
    <w:p w14:paraId="4C10C24D" w14:textId="77777777" w:rsidR="00EC2C5A" w:rsidRPr="006B7FFA" w:rsidRDefault="00000000" w:rsidP="006B7FFA">
      <w:pPr>
        <w:numPr>
          <w:ilvl w:val="1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koszty usług powielania dokumentów związanych z obsługą administracyjną projektu, </w:t>
      </w:r>
    </w:p>
    <w:p w14:paraId="39FAE54E" w14:textId="77777777" w:rsidR="00EC2C5A" w:rsidRPr="006B7FFA" w:rsidRDefault="00000000" w:rsidP="006B7FFA">
      <w:pPr>
        <w:numPr>
          <w:ilvl w:val="1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koszty materiałów biurowych i artykułów piśmienniczych związanych z obsługą administracyjną projektu, </w:t>
      </w:r>
    </w:p>
    <w:p w14:paraId="693BB94D" w14:textId="77777777" w:rsidR="00EC2C5A" w:rsidRPr="006B7FFA" w:rsidRDefault="00000000" w:rsidP="006B7FFA">
      <w:pPr>
        <w:numPr>
          <w:ilvl w:val="1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koszty sprzątania pomieszczeń związanych z obsługą administracyjną projektu, w tym środki do utrzymania ich czystości oraz dezynsekcję, dezynfekcję, deratyzację tych pomieszczeń, </w:t>
      </w:r>
    </w:p>
    <w:p w14:paraId="2E81AE95" w14:textId="5EBAEAAF" w:rsidR="006D55F5" w:rsidRPr="006B7FFA" w:rsidRDefault="00000000" w:rsidP="006B7FFA">
      <w:pPr>
        <w:numPr>
          <w:ilvl w:val="1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koszty zabezpieczenia prawidłowej realizacji umów. </w:t>
      </w:r>
    </w:p>
    <w:p w14:paraId="519D64F0" w14:textId="01ED004F" w:rsidR="00EC2C5A" w:rsidRPr="006B7FFA" w:rsidRDefault="00BF33D0" w:rsidP="006B7FFA">
      <w:pPr>
        <w:numPr>
          <w:ilvl w:val="0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 Przygotowywanie budżetu projektu grantowego powinno odbywać się w oparciu o zapisy Wytycznych dotyczących kwalifikowalności wydatków na lata 2021-2027 (podrozdział 2.2 pkt 1 lit. a i lit. e-f, 2.3, 2.4, 2.6 i 3.5). </w:t>
      </w:r>
    </w:p>
    <w:p w14:paraId="1E36366A" w14:textId="65F84E9E" w:rsidR="00EC2C5A" w:rsidRPr="006B7FFA" w:rsidRDefault="00BF33D0" w:rsidP="006B7FFA">
      <w:pPr>
        <w:numPr>
          <w:ilvl w:val="0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 Cross-</w:t>
      </w:r>
      <w:proofErr w:type="spellStart"/>
      <w:r w:rsidRPr="006B7FFA">
        <w:rPr>
          <w:sz w:val="22"/>
        </w:rPr>
        <w:t>financing</w:t>
      </w:r>
      <w:proofErr w:type="spellEnd"/>
      <w:r w:rsidRPr="006B7FFA">
        <w:rPr>
          <w:sz w:val="22"/>
        </w:rPr>
        <w:t xml:space="preserve"> –w ramach naboru </w:t>
      </w:r>
      <w:r w:rsidRPr="006B7FFA">
        <w:rPr>
          <w:b/>
          <w:sz w:val="22"/>
        </w:rPr>
        <w:t>nie dopuszcza się cross-</w:t>
      </w:r>
      <w:proofErr w:type="spellStart"/>
      <w:r w:rsidRPr="006B7FFA">
        <w:rPr>
          <w:b/>
          <w:sz w:val="22"/>
        </w:rPr>
        <w:t>financingu</w:t>
      </w:r>
      <w:proofErr w:type="spellEnd"/>
      <w:r w:rsidRPr="006B7FFA">
        <w:rPr>
          <w:b/>
          <w:sz w:val="22"/>
        </w:rPr>
        <w:t>.</w:t>
      </w:r>
      <w:r w:rsidRPr="006B7FFA">
        <w:rPr>
          <w:sz w:val="22"/>
        </w:rPr>
        <w:t xml:space="preserve"> </w:t>
      </w:r>
    </w:p>
    <w:p w14:paraId="20D23137" w14:textId="7C31824E" w:rsidR="00EC2C5A" w:rsidRDefault="00BF33D0" w:rsidP="006B7FFA">
      <w:pPr>
        <w:numPr>
          <w:ilvl w:val="0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 Dla</w:t>
      </w:r>
      <w:r w:rsidRPr="006B7FFA">
        <w:rPr>
          <w:b/>
          <w:sz w:val="22"/>
        </w:rPr>
        <w:t xml:space="preserve"> </w:t>
      </w:r>
      <w:r w:rsidRPr="006B7FFA">
        <w:rPr>
          <w:sz w:val="22"/>
        </w:rPr>
        <w:t xml:space="preserve">działań określono standard cen rynkowych: </w:t>
      </w:r>
    </w:p>
    <w:p w14:paraId="5D0333D4" w14:textId="77777777" w:rsidR="006B7FFA" w:rsidRDefault="006B7FFA" w:rsidP="006B7FFA">
      <w:pPr>
        <w:spacing w:after="0" w:line="276" w:lineRule="auto"/>
        <w:ind w:right="15"/>
        <w:rPr>
          <w:sz w:val="22"/>
        </w:rPr>
      </w:pPr>
    </w:p>
    <w:p w14:paraId="0FA15EF4" w14:textId="77777777" w:rsidR="006B7FFA" w:rsidRDefault="006B7FFA" w:rsidP="006B7FFA">
      <w:pPr>
        <w:spacing w:after="0" w:line="276" w:lineRule="auto"/>
        <w:ind w:right="15"/>
        <w:rPr>
          <w:sz w:val="22"/>
        </w:rPr>
      </w:pPr>
    </w:p>
    <w:p w14:paraId="549B246B" w14:textId="77777777" w:rsidR="006B7FFA" w:rsidRPr="006B7FFA" w:rsidRDefault="006B7FFA" w:rsidP="006B7FFA">
      <w:pPr>
        <w:spacing w:after="0" w:line="276" w:lineRule="auto"/>
        <w:ind w:right="15"/>
        <w:rPr>
          <w:sz w:val="22"/>
        </w:rPr>
      </w:pPr>
    </w:p>
    <w:tbl>
      <w:tblPr>
        <w:tblStyle w:val="TableGrid"/>
        <w:tblW w:w="14163" w:type="dxa"/>
        <w:tblInd w:w="7" w:type="dxa"/>
        <w:tblCellMar>
          <w:top w:w="45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562"/>
        <w:gridCol w:w="11892"/>
        <w:gridCol w:w="1709"/>
      </w:tblGrid>
      <w:tr w:rsidR="00EC2C5A" w:rsidRPr="006B7FFA" w14:paraId="271C02C8" w14:textId="77777777" w:rsidTr="004A0EEA">
        <w:trPr>
          <w:trHeight w:val="4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AB6C101" w14:textId="77777777" w:rsidR="00EC2C5A" w:rsidRPr="006B7FFA" w:rsidRDefault="00000000" w:rsidP="006B7FFA">
            <w:pPr>
              <w:spacing w:after="0" w:line="276" w:lineRule="auto"/>
              <w:ind w:left="1" w:firstLine="0"/>
              <w:rPr>
                <w:sz w:val="22"/>
              </w:rPr>
            </w:pPr>
            <w:r w:rsidRPr="006B7FFA">
              <w:rPr>
                <w:sz w:val="22"/>
              </w:rPr>
              <w:lastRenderedPageBreak/>
              <w:t xml:space="preserve">Lp. </w:t>
            </w:r>
          </w:p>
        </w:tc>
        <w:tc>
          <w:tcPr>
            <w:tcW w:w="1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0171BC8" w14:textId="77777777" w:rsidR="00EC2C5A" w:rsidRPr="006B7FFA" w:rsidRDefault="00000000" w:rsidP="006B7FFA">
            <w:pPr>
              <w:spacing w:after="0" w:line="276" w:lineRule="auto"/>
              <w:ind w:left="0" w:firstLine="0"/>
              <w:rPr>
                <w:sz w:val="22"/>
              </w:rPr>
            </w:pPr>
            <w:r w:rsidRPr="006B7FFA">
              <w:rPr>
                <w:sz w:val="22"/>
              </w:rPr>
              <w:t xml:space="preserve">Kategoria wydatku 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1918805" w14:textId="77777777" w:rsidR="00EC2C5A" w:rsidRPr="006B7FFA" w:rsidRDefault="00000000" w:rsidP="006B7FFA">
            <w:pPr>
              <w:spacing w:after="0" w:line="276" w:lineRule="auto"/>
              <w:ind w:left="0" w:firstLine="0"/>
              <w:rPr>
                <w:sz w:val="22"/>
              </w:rPr>
            </w:pPr>
            <w:r w:rsidRPr="006B7FFA">
              <w:rPr>
                <w:sz w:val="22"/>
              </w:rPr>
              <w:t xml:space="preserve">Stawka maksymalna </w:t>
            </w:r>
          </w:p>
        </w:tc>
      </w:tr>
      <w:tr w:rsidR="00EC2C5A" w:rsidRPr="006B7FFA" w14:paraId="53C74103" w14:textId="77777777" w:rsidTr="004A0EEA">
        <w:trPr>
          <w:trHeight w:val="39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9A2F5" w14:textId="05419602" w:rsidR="00EC2C5A" w:rsidRPr="006B7FFA" w:rsidRDefault="004A0EEA" w:rsidP="006B7FFA">
            <w:pPr>
              <w:spacing w:after="0" w:line="276" w:lineRule="auto"/>
              <w:ind w:left="1" w:firstLine="0"/>
              <w:rPr>
                <w:sz w:val="22"/>
              </w:rPr>
            </w:pPr>
            <w:r w:rsidRPr="006B7FFA">
              <w:rPr>
                <w:sz w:val="22"/>
              </w:rPr>
              <w:t>1</w:t>
            </w:r>
            <w:r w:rsidR="00BF33D0" w:rsidRPr="006B7FFA">
              <w:rPr>
                <w:sz w:val="22"/>
              </w:rPr>
              <w:t>.</w:t>
            </w:r>
          </w:p>
        </w:tc>
        <w:tc>
          <w:tcPr>
            <w:tcW w:w="1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D4994" w14:textId="79E946B4" w:rsidR="00EC2C5A" w:rsidRPr="006B7FFA" w:rsidRDefault="004A0EEA" w:rsidP="006B7FFA">
            <w:pPr>
              <w:spacing w:after="0" w:line="276" w:lineRule="auto"/>
              <w:ind w:left="0" w:firstLine="0"/>
              <w:rPr>
                <w:sz w:val="22"/>
              </w:rPr>
            </w:pPr>
            <w:r w:rsidRPr="006B7FFA">
              <w:rPr>
                <w:sz w:val="22"/>
              </w:rPr>
              <w:t xml:space="preserve">Wyposażenie klubu w zakresie niezbędnym do jego funkcjonowania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C6B91" w14:textId="478BA774" w:rsidR="00EC2C5A" w:rsidRPr="006B7FFA" w:rsidRDefault="00000000" w:rsidP="006B7FFA">
            <w:pPr>
              <w:spacing w:after="0" w:line="276" w:lineRule="auto"/>
              <w:ind w:left="0" w:firstLine="0"/>
              <w:rPr>
                <w:sz w:val="22"/>
              </w:rPr>
            </w:pPr>
            <w:r w:rsidRPr="006B7FFA">
              <w:rPr>
                <w:sz w:val="22"/>
              </w:rPr>
              <w:t xml:space="preserve">do 10% </w:t>
            </w:r>
            <w:r w:rsidR="006D55F5" w:rsidRPr="006B7FFA">
              <w:rPr>
                <w:sz w:val="22"/>
              </w:rPr>
              <w:t>kosztów zadań merytorycznych</w:t>
            </w:r>
          </w:p>
        </w:tc>
      </w:tr>
      <w:tr w:rsidR="00EC2C5A" w:rsidRPr="006B7FFA" w14:paraId="64ACB2C2" w14:textId="77777777" w:rsidTr="004A0EEA">
        <w:trPr>
          <w:trHeight w:val="1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5F7CB" w14:textId="507B000C" w:rsidR="00EC2C5A" w:rsidRPr="006B7FFA" w:rsidRDefault="004A0EEA" w:rsidP="006B7FFA">
            <w:pPr>
              <w:spacing w:after="0" w:line="276" w:lineRule="auto"/>
              <w:rPr>
                <w:sz w:val="22"/>
              </w:rPr>
            </w:pPr>
            <w:r w:rsidRPr="006B7FFA">
              <w:rPr>
                <w:sz w:val="22"/>
              </w:rPr>
              <w:t xml:space="preserve">2. </w:t>
            </w:r>
          </w:p>
        </w:tc>
        <w:tc>
          <w:tcPr>
            <w:tcW w:w="1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39A2" w14:textId="5976CB79" w:rsidR="006D55F5" w:rsidRPr="006B7FFA" w:rsidRDefault="006D55F5" w:rsidP="006B7FFA">
            <w:pPr>
              <w:spacing w:after="0" w:line="276" w:lineRule="auto"/>
              <w:ind w:left="0" w:firstLine="0"/>
              <w:rPr>
                <w:sz w:val="22"/>
              </w:rPr>
            </w:pPr>
            <w:r w:rsidRPr="006B7FFA">
              <w:rPr>
                <w:sz w:val="22"/>
              </w:rPr>
              <w:t>Działania uzupełniające w ramach typu 1d)</w:t>
            </w:r>
          </w:p>
          <w:p w14:paraId="64DCA5BA" w14:textId="4E5F994F" w:rsidR="006D55F5" w:rsidRPr="006B7FFA" w:rsidRDefault="006D55F5" w:rsidP="006B7FFA">
            <w:pPr>
              <w:spacing w:after="0" w:line="276" w:lineRule="auto"/>
              <w:ind w:left="0" w:firstLine="0"/>
              <w:rPr>
                <w:sz w:val="22"/>
              </w:rPr>
            </w:pPr>
            <w:r w:rsidRPr="006B7FFA">
              <w:rPr>
                <w:sz w:val="22"/>
              </w:rPr>
              <w:t xml:space="preserve">Działania uzupełniające wskazane w typie 1d) nie mogą czasowo przeważać nad działaniami zaplanowanymi w ramach typu 1a). </w:t>
            </w:r>
          </w:p>
          <w:p w14:paraId="4BCFE935" w14:textId="054A6340" w:rsidR="006D55F5" w:rsidRPr="006B7FFA" w:rsidRDefault="006D55F5" w:rsidP="006B7FFA">
            <w:pPr>
              <w:spacing w:after="0" w:line="276" w:lineRule="auto"/>
              <w:ind w:left="0" w:firstLine="0"/>
              <w:rPr>
                <w:sz w:val="22"/>
              </w:rPr>
            </w:pPr>
            <w:r w:rsidRPr="006B7FFA">
              <w:rPr>
                <w:sz w:val="22"/>
              </w:rPr>
              <w:t>Żadne z wydarzeń uzupełniających wskazanych w typie 1d) nie może mieć charakteru masowej imprezy, skierowanej do ogółu mieszkańców, w której udział wezmą osoby, które nie mają powiązania z uczestnikami projektu, nie są ich środowiskiem lokalnym, nie mają powiązań rodzinnych, sąsiedzkich, nie stanowią ich grupy wsparcia, nie przyczynią się do pomocy, zaangażowania się w rozwiązanie problemów uczestników projektu, nie nastąpi między nimi wymiana doświadczeń, wzajemna pomoc, edukacja. Koszty związane z organizacją takiego wydarzenia skierowanego do ogółu mieszkańców będą niekwalifikowalne.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27485" w14:textId="77777777" w:rsidR="00EC2C5A" w:rsidRPr="006B7FFA" w:rsidRDefault="00000000" w:rsidP="006B7FFA">
            <w:pPr>
              <w:spacing w:after="0" w:line="276" w:lineRule="auto"/>
              <w:ind w:left="0" w:firstLine="0"/>
              <w:rPr>
                <w:sz w:val="22"/>
              </w:rPr>
            </w:pPr>
            <w:r w:rsidRPr="006B7FFA">
              <w:rPr>
                <w:sz w:val="22"/>
              </w:rPr>
              <w:t xml:space="preserve">do 30% kosztów zadań merytorycznych </w:t>
            </w:r>
          </w:p>
        </w:tc>
      </w:tr>
    </w:tbl>
    <w:p w14:paraId="3C29E81F" w14:textId="77777777" w:rsidR="00EC2C5A" w:rsidRPr="006B7FFA" w:rsidRDefault="00000000" w:rsidP="006B7FFA">
      <w:pPr>
        <w:spacing w:after="0" w:line="276" w:lineRule="auto"/>
        <w:ind w:left="0" w:firstLine="0"/>
        <w:rPr>
          <w:sz w:val="22"/>
        </w:rPr>
      </w:pPr>
      <w:r w:rsidRPr="006B7FFA">
        <w:rPr>
          <w:sz w:val="22"/>
        </w:rPr>
        <w:t xml:space="preserve"> </w:t>
      </w:r>
    </w:p>
    <w:p w14:paraId="4BDFDFDD" w14:textId="503EFF20" w:rsidR="00EC2C5A" w:rsidRPr="006B7FFA" w:rsidRDefault="00EC2C5A" w:rsidP="006B7FFA">
      <w:pPr>
        <w:spacing w:after="0" w:line="276" w:lineRule="auto"/>
        <w:ind w:left="0" w:firstLine="0"/>
        <w:rPr>
          <w:sz w:val="22"/>
        </w:rPr>
      </w:pPr>
    </w:p>
    <w:sectPr w:rsidR="00EC2C5A" w:rsidRPr="006B7F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45" w:right="1845" w:bottom="1579" w:left="1416" w:header="203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60360E" w14:textId="77777777" w:rsidR="009E4F51" w:rsidRDefault="009E4F51">
      <w:pPr>
        <w:spacing w:after="0" w:line="240" w:lineRule="auto"/>
      </w:pPr>
      <w:r>
        <w:separator/>
      </w:r>
    </w:p>
  </w:endnote>
  <w:endnote w:type="continuationSeparator" w:id="0">
    <w:p w14:paraId="4DBA846F" w14:textId="77777777" w:rsidR="009E4F51" w:rsidRDefault="009E4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430AA" w14:textId="77777777" w:rsidR="00EC2C5A" w:rsidRDefault="00000000">
    <w:pPr>
      <w:spacing w:after="0" w:line="259" w:lineRule="auto"/>
      <w:ind w:left="0" w:right="-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59BCDB6" w14:textId="77777777" w:rsidR="00EC2C5A" w:rsidRDefault="00000000">
    <w:pPr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1EC3F" w14:textId="77777777" w:rsidR="00EC2C5A" w:rsidRDefault="00000000">
    <w:pPr>
      <w:spacing w:after="0" w:line="259" w:lineRule="auto"/>
      <w:ind w:left="0" w:right="-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360E0F6" w14:textId="77777777" w:rsidR="00EC2C5A" w:rsidRDefault="00000000">
    <w:pPr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7A093" w14:textId="77777777" w:rsidR="00EC2C5A" w:rsidRDefault="00000000">
    <w:pPr>
      <w:spacing w:after="0" w:line="259" w:lineRule="auto"/>
      <w:ind w:left="0" w:right="-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12380E5B" w14:textId="77777777" w:rsidR="00EC2C5A" w:rsidRDefault="00000000">
    <w:pPr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F7082E" w14:textId="77777777" w:rsidR="009E4F51" w:rsidRDefault="009E4F51">
      <w:pPr>
        <w:spacing w:after="0" w:line="240" w:lineRule="auto"/>
      </w:pPr>
      <w:r>
        <w:separator/>
      </w:r>
    </w:p>
  </w:footnote>
  <w:footnote w:type="continuationSeparator" w:id="0">
    <w:p w14:paraId="15438740" w14:textId="77777777" w:rsidR="009E4F51" w:rsidRDefault="009E4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25923" w14:textId="77777777" w:rsidR="00EC2C5A" w:rsidRDefault="00000000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182854C" wp14:editId="27407DE5">
          <wp:simplePos x="0" y="0"/>
          <wp:positionH relativeFrom="page">
            <wp:posOffset>2477135</wp:posOffset>
          </wp:positionH>
          <wp:positionV relativeFrom="page">
            <wp:posOffset>128905</wp:posOffset>
          </wp:positionV>
          <wp:extent cx="5613147" cy="692150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3147" cy="692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2F17B" w14:textId="77777777" w:rsidR="00EC2C5A" w:rsidRDefault="00000000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59264" behindDoc="0" locked="0" layoutInCell="1" allowOverlap="0" wp14:anchorId="702A7708" wp14:editId="536CEA45">
          <wp:simplePos x="0" y="0"/>
          <wp:positionH relativeFrom="page">
            <wp:posOffset>2477135</wp:posOffset>
          </wp:positionH>
          <wp:positionV relativeFrom="page">
            <wp:posOffset>128905</wp:posOffset>
          </wp:positionV>
          <wp:extent cx="5613147" cy="692150"/>
          <wp:effectExtent l="0" t="0" r="0" b="0"/>
          <wp:wrapSquare wrapText="bothSides"/>
          <wp:docPr id="461830726" name="Picture 11" descr="pasek logotyów środków unijnych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1830726" name="Picture 11" descr="pasek logotyów środków unijnych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3147" cy="692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FAE04" w14:textId="77777777" w:rsidR="00EC2C5A" w:rsidRDefault="00000000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C129B8B" wp14:editId="30E60128">
          <wp:simplePos x="0" y="0"/>
          <wp:positionH relativeFrom="page">
            <wp:posOffset>2477135</wp:posOffset>
          </wp:positionH>
          <wp:positionV relativeFrom="page">
            <wp:posOffset>128905</wp:posOffset>
          </wp:positionV>
          <wp:extent cx="5613147" cy="692150"/>
          <wp:effectExtent l="0" t="0" r="0" b="0"/>
          <wp:wrapSquare wrapText="bothSides"/>
          <wp:docPr id="19585059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3147" cy="692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F13FB6"/>
    <w:multiLevelType w:val="hybridMultilevel"/>
    <w:tmpl w:val="F39C697A"/>
    <w:lvl w:ilvl="0" w:tplc="F626AFA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34418E">
      <w:start w:val="1"/>
      <w:numFmt w:val="lowerLetter"/>
      <w:lvlText w:val="%2"/>
      <w:lvlJc w:val="left"/>
      <w:pPr>
        <w:ind w:left="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E41F92">
      <w:start w:val="1"/>
      <w:numFmt w:val="lowerLetter"/>
      <w:lvlRestart w:val="0"/>
      <w:lvlText w:val="%3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66BC42">
      <w:start w:val="1"/>
      <w:numFmt w:val="decimal"/>
      <w:lvlText w:val="%4"/>
      <w:lvlJc w:val="left"/>
      <w:pPr>
        <w:ind w:left="1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BA42EE">
      <w:start w:val="1"/>
      <w:numFmt w:val="lowerLetter"/>
      <w:lvlText w:val="%5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AA2274">
      <w:start w:val="1"/>
      <w:numFmt w:val="lowerRoman"/>
      <w:lvlText w:val="%6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88F07C">
      <w:start w:val="1"/>
      <w:numFmt w:val="decimal"/>
      <w:lvlText w:val="%7"/>
      <w:lvlJc w:val="left"/>
      <w:pPr>
        <w:ind w:left="4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206730">
      <w:start w:val="1"/>
      <w:numFmt w:val="lowerLetter"/>
      <w:lvlText w:val="%8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C8E5A4">
      <w:start w:val="1"/>
      <w:numFmt w:val="lowerRoman"/>
      <w:lvlText w:val="%9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0815C10"/>
    <w:multiLevelType w:val="hybridMultilevel"/>
    <w:tmpl w:val="34B46932"/>
    <w:lvl w:ilvl="0" w:tplc="1A0C99D0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1EAB20">
      <w:start w:val="1"/>
      <w:numFmt w:val="lowerLetter"/>
      <w:lvlText w:val="%2)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04E5BE">
      <w:start w:val="1"/>
      <w:numFmt w:val="lowerRoman"/>
      <w:lvlText w:val="%3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001BE4">
      <w:start w:val="1"/>
      <w:numFmt w:val="decimal"/>
      <w:lvlText w:val="%4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A0E95A">
      <w:start w:val="1"/>
      <w:numFmt w:val="lowerLetter"/>
      <w:lvlText w:val="%5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EC27CA">
      <w:start w:val="1"/>
      <w:numFmt w:val="lowerRoman"/>
      <w:lvlText w:val="%6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C6443C">
      <w:start w:val="1"/>
      <w:numFmt w:val="decimal"/>
      <w:lvlText w:val="%7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D64576">
      <w:start w:val="1"/>
      <w:numFmt w:val="lowerLetter"/>
      <w:lvlText w:val="%8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1E378C">
      <w:start w:val="1"/>
      <w:numFmt w:val="lowerRoman"/>
      <w:lvlText w:val="%9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23597267">
    <w:abstractNumId w:val="1"/>
  </w:num>
  <w:num w:numId="2" w16cid:durableId="1018434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C5A"/>
    <w:rsid w:val="00007211"/>
    <w:rsid w:val="000E1E65"/>
    <w:rsid w:val="001D3CC0"/>
    <w:rsid w:val="002D0EA3"/>
    <w:rsid w:val="00317868"/>
    <w:rsid w:val="003C6835"/>
    <w:rsid w:val="004A0EEA"/>
    <w:rsid w:val="004B0684"/>
    <w:rsid w:val="00590527"/>
    <w:rsid w:val="005C055E"/>
    <w:rsid w:val="006B7FFA"/>
    <w:rsid w:val="006D55F5"/>
    <w:rsid w:val="008D6023"/>
    <w:rsid w:val="009E4F51"/>
    <w:rsid w:val="00B01CA8"/>
    <w:rsid w:val="00BF33D0"/>
    <w:rsid w:val="00DE605F"/>
    <w:rsid w:val="00EC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A20BD3"/>
  <w15:docId w15:val="{C3836097-9CA7-4FFC-B422-1DA1767D8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8" w:line="388" w:lineRule="auto"/>
      <w:ind w:left="370" w:hanging="370"/>
    </w:pPr>
    <w:rPr>
      <w:rFonts w:ascii="Arial" w:eastAsia="Arial" w:hAnsi="Arial" w:cs="Arial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31CAA-7397-4AB4-996F-B88C38C71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707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 Miasta Torunia</dc:creator>
  <cp:keywords/>
  <cp:lastModifiedBy>ILONA LINCZOWSKA</cp:lastModifiedBy>
  <cp:revision>5</cp:revision>
  <dcterms:created xsi:type="dcterms:W3CDTF">2024-11-20T16:31:00Z</dcterms:created>
  <dcterms:modified xsi:type="dcterms:W3CDTF">2024-11-28T11:28:00Z</dcterms:modified>
</cp:coreProperties>
</file>