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D159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3D5E8B9" w14:textId="7797CEA3" w:rsidR="007537DE" w:rsidRPr="00FB07F7" w:rsidRDefault="00FB07F7">
      <w:pPr>
        <w:spacing w:after="0" w:line="240" w:lineRule="auto"/>
        <w:rPr>
          <w:rFonts w:ascii="Arial" w:hAnsi="Arial" w:cs="Arial"/>
          <w:bCs/>
        </w:rPr>
      </w:pPr>
      <w:r w:rsidRPr="00FB07F7">
        <w:rPr>
          <w:rFonts w:ascii="Arial" w:hAnsi="Arial" w:cs="Arial"/>
          <w:bCs/>
        </w:rPr>
        <w:t xml:space="preserve">Załącznik nr 3 do Ogłoszenia o naborze </w:t>
      </w:r>
      <w:r w:rsidRPr="00F70202">
        <w:rPr>
          <w:rFonts w:ascii="Arial" w:hAnsi="Arial" w:cs="Arial"/>
          <w:bCs/>
        </w:rPr>
        <w:t xml:space="preserve">wniosków nr </w:t>
      </w:r>
      <w:r w:rsidR="00F70202" w:rsidRPr="00F70202">
        <w:rPr>
          <w:rFonts w:ascii="Arial" w:hAnsi="Arial" w:cs="Arial"/>
        </w:rPr>
        <w:t>02/EFS+/2026_S</w:t>
      </w:r>
    </w:p>
    <w:p w14:paraId="004DCD30" w14:textId="77777777" w:rsidR="007537DE" w:rsidRDefault="007537D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3C564F5" w14:textId="7DD55D7F" w:rsidR="007537DE" w:rsidRPr="008D3E7A" w:rsidRDefault="001F3196">
      <w:pPr>
        <w:spacing w:after="0" w:line="240" w:lineRule="auto"/>
        <w:jc w:val="center"/>
        <w:rPr>
          <w:color w:val="0D0D0D" w:themeColor="text1" w:themeTint="F2"/>
        </w:rPr>
      </w:pPr>
      <w:r>
        <w:rPr>
          <w:rFonts w:ascii="Arial" w:hAnsi="Arial" w:cs="Arial"/>
          <w:b/>
          <w:sz w:val="40"/>
          <w:szCs w:val="40"/>
        </w:rPr>
        <w:t xml:space="preserve">Kryteria oceny i wyboru </w:t>
      </w:r>
      <w:proofErr w:type="spellStart"/>
      <w:r w:rsidR="00952F21"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>grantobiorców</w:t>
      </w:r>
      <w:proofErr w:type="spellEnd"/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 xml:space="preserve"> </w:t>
      </w:r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br/>
      </w: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w ramach</w:t>
      </w:r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 xml:space="preserve"> </w:t>
      </w:r>
    </w:p>
    <w:p w14:paraId="06BEDF87" w14:textId="77777777" w:rsidR="007537DE" w:rsidRPr="008D3E7A" w:rsidRDefault="007537DE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6391FBB5" w14:textId="77777777" w:rsidR="007537DE" w:rsidRPr="008D3E7A" w:rsidRDefault="001F3196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Lokalnej Strategii </w:t>
      </w:r>
      <w:proofErr w:type="gramStart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Rozwoju  dla</w:t>
      </w:r>
      <w:proofErr w:type="gramEnd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obszaru działania  </w:t>
      </w: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br/>
        <w:t>Lokalnej Grupy Działania (</w:t>
      </w:r>
      <w:proofErr w:type="gramStart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LGD)  „</w:t>
      </w:r>
      <w:proofErr w:type="gramEnd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Vistula-Terra </w:t>
      </w:r>
      <w:proofErr w:type="spellStart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Culmensis</w:t>
      </w:r>
      <w:proofErr w:type="spellEnd"/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- Rozwój przez Tradycję”  </w:t>
      </w: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br/>
        <w:t xml:space="preserve">na lata 2023-2029 </w:t>
      </w:r>
    </w:p>
    <w:p w14:paraId="72723B66" w14:textId="58E0D98E" w:rsidR="007537DE" w:rsidRPr="008D3E7A" w:rsidRDefault="000B7681">
      <w:pPr>
        <w:spacing w:after="0" w:line="240" w:lineRule="auto"/>
        <w:jc w:val="center"/>
        <w:rPr>
          <w:color w:val="0D0D0D" w:themeColor="text1" w:themeTint="F2"/>
        </w:rPr>
      </w:pPr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 xml:space="preserve">ze środków </w:t>
      </w:r>
      <w:proofErr w:type="spellStart"/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>FEdKIP</w:t>
      </w:r>
      <w:proofErr w:type="spellEnd"/>
      <w:r w:rsidRPr="008D3E7A">
        <w:rPr>
          <w:rFonts w:ascii="Arial" w:hAnsi="Arial" w:cs="Arial"/>
          <w:b/>
          <w:color w:val="0D0D0D" w:themeColor="text1" w:themeTint="F2"/>
          <w:sz w:val="40"/>
          <w:szCs w:val="40"/>
        </w:rPr>
        <w:t xml:space="preserve"> na lata 2021-2027</w:t>
      </w: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br/>
        <w:t xml:space="preserve">wraz z </w:t>
      </w:r>
    </w:p>
    <w:p w14:paraId="59E076D9" w14:textId="6C77BD8E" w:rsidR="007537DE" w:rsidRPr="008D3E7A" w:rsidRDefault="001F3196" w:rsidP="00952F21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Procedurą ustalania lub zmiany kryteriów</w:t>
      </w:r>
      <w:r w:rsidRPr="008D3E7A">
        <w:rPr>
          <w:color w:val="0D0D0D" w:themeColor="text1" w:themeTint="F2"/>
        </w:rPr>
        <w:t xml:space="preserve"> </w:t>
      </w:r>
      <w:r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oceny i wyboru </w:t>
      </w:r>
      <w:proofErr w:type="spellStart"/>
      <w:r w:rsidR="00952F21"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>grantobiorców</w:t>
      </w:r>
      <w:proofErr w:type="spellEnd"/>
      <w:r w:rsidR="00952F21" w:rsidRPr="008D3E7A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</w:p>
    <w:p w14:paraId="133C4956" w14:textId="77777777" w:rsidR="007537DE" w:rsidRPr="00726F61" w:rsidRDefault="007537D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AD62E4E" w14:textId="77777777" w:rsidR="007537DE" w:rsidRDefault="007537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BB1371" w14:textId="77777777" w:rsidR="007537DE" w:rsidRDefault="007537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E5BD3B" w14:textId="77777777" w:rsidR="007537DE" w:rsidRDefault="001F31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Dotyczy: </w:t>
      </w:r>
      <w:proofErr w:type="spellStart"/>
      <w:r>
        <w:rPr>
          <w:rFonts w:ascii="Arial" w:hAnsi="Arial" w:cs="Arial"/>
          <w:bCs/>
          <w:sz w:val="24"/>
          <w:szCs w:val="24"/>
        </w:rPr>
        <w:t>FEdKIP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– środki z programu Fundusze Europejskie dla </w:t>
      </w:r>
      <w:proofErr w:type="gramStart"/>
      <w:r>
        <w:rPr>
          <w:rFonts w:ascii="Arial" w:hAnsi="Arial" w:cs="Arial"/>
          <w:bCs/>
          <w:sz w:val="24"/>
          <w:szCs w:val="24"/>
        </w:rPr>
        <w:t>Kujaw  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Pomorza  na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lata 2021-2027 - </w:t>
      </w:r>
      <w:proofErr w:type="gramStart"/>
      <w:r>
        <w:rPr>
          <w:rFonts w:ascii="Arial" w:hAnsi="Arial" w:cs="Arial"/>
          <w:bCs/>
          <w:sz w:val="24"/>
          <w:szCs w:val="24"/>
        </w:rPr>
        <w:t>środki  w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ramach priorytetu nr 7: Fundusze europejskie na rozwój lokalny. </w:t>
      </w:r>
    </w:p>
    <w:p w14:paraId="7C99387A" w14:textId="77777777" w:rsidR="007537DE" w:rsidRDefault="001F319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Fundusz: EFS+ - Europejski Fundusz Społeczny PLUS</w:t>
      </w:r>
    </w:p>
    <w:p w14:paraId="1D189B6E" w14:textId="77777777" w:rsidR="007537DE" w:rsidRDefault="007537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0F8F38" w14:textId="77777777" w:rsidR="007537DE" w:rsidRDefault="007537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41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50"/>
        <w:gridCol w:w="12194"/>
      </w:tblGrid>
      <w:tr w:rsidR="007537DE" w14:paraId="6E586148" w14:textId="7777777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4363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Cel LSR:</w:t>
            </w:r>
          </w:p>
        </w:tc>
        <w:tc>
          <w:tcPr>
            <w:tcW w:w="1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A52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C.1 AKTYWIZACJA I INTEGRACJA LOKALNEJ SPOŁECZNOŚCI</w:t>
            </w:r>
          </w:p>
        </w:tc>
      </w:tr>
      <w:tr w:rsidR="007537DE" w14:paraId="639242BC" w14:textId="77777777">
        <w:trPr>
          <w:trHeight w:val="169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AA9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Przedsięwzięcia LSR:</w:t>
            </w:r>
          </w:p>
          <w:p w14:paraId="386F37A0" w14:textId="77777777" w:rsidR="007537DE" w:rsidRDefault="007537D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D3FD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P.1.1 Aktywni seniorzy</w:t>
            </w:r>
          </w:p>
        </w:tc>
      </w:tr>
      <w:tr w:rsidR="007537DE" w14:paraId="46800526" w14:textId="77777777">
        <w:trPr>
          <w:trHeight w:val="64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E7A" w14:textId="77777777" w:rsidR="007537DE" w:rsidRDefault="007537DE"/>
        </w:tc>
        <w:tc>
          <w:tcPr>
            <w:tcW w:w="1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3C02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P.1.2 Aktywne osoby młode</w:t>
            </w:r>
          </w:p>
        </w:tc>
      </w:tr>
      <w:tr w:rsidR="007537DE" w14:paraId="05E55C9D" w14:textId="77777777">
        <w:trPr>
          <w:trHeight w:val="167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565A" w14:textId="77777777" w:rsidR="007537DE" w:rsidRDefault="007537DE"/>
        </w:tc>
        <w:tc>
          <w:tcPr>
            <w:tcW w:w="1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827A" w14:textId="77777777" w:rsidR="007537DE" w:rsidRDefault="001F31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P.1.3 Aktywne kobiety</w:t>
            </w:r>
          </w:p>
        </w:tc>
      </w:tr>
    </w:tbl>
    <w:p w14:paraId="4B1EA1CA" w14:textId="77777777" w:rsidR="007537DE" w:rsidRDefault="007537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31A968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93CF19F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20E1789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1A9B425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670ACF5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Hlk164759462"/>
      <w:bookmarkEnd w:id="0"/>
    </w:p>
    <w:p w14:paraId="0BA811B8" w14:textId="77777777" w:rsidR="007537DE" w:rsidRDefault="007537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BC6F33" w14:textId="77777777" w:rsidR="007537DE" w:rsidRDefault="007537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02C993" w14:textId="4C793927" w:rsidR="007537DE" w:rsidRPr="009F49E9" w:rsidRDefault="001F3196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OPIS KRYTERIÓW OCENY I WYBO</w:t>
      </w:r>
      <w:r w:rsidRPr="008D3E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RU </w:t>
      </w:r>
      <w:r w:rsidR="00952F21" w:rsidRPr="008D3E7A">
        <w:rPr>
          <w:rFonts w:ascii="Arial" w:hAnsi="Arial" w:cs="Arial"/>
          <w:b/>
          <w:color w:val="0D0D0D" w:themeColor="text1" w:themeTint="F2"/>
          <w:sz w:val="28"/>
          <w:szCs w:val="28"/>
        </w:rPr>
        <w:t>GRANTOBIORCÓW</w:t>
      </w:r>
    </w:p>
    <w:p w14:paraId="4EFBE245" w14:textId="77777777" w:rsidR="007537DE" w:rsidRDefault="007537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24510D" w14:textId="77777777" w:rsidR="007537DE" w:rsidRDefault="001F31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Kryteria oceny i wyboru projektów grantowych zostały opracowane przez Biuro i Zarząd Lokalnej Grupy Działania „Vistula-Terra </w:t>
      </w:r>
      <w:proofErr w:type="spellStart"/>
      <w:r>
        <w:rPr>
          <w:rFonts w:ascii="Arial" w:hAnsi="Arial" w:cs="Arial"/>
          <w:bCs/>
        </w:rPr>
        <w:t>Culmensis</w:t>
      </w:r>
      <w:proofErr w:type="spellEnd"/>
      <w:r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br/>
        <w:t xml:space="preserve">na podstawie diagnozy obszaru LSR i konsultacji z lokalną społecznością, z uwzględnieniem obowiązujących przepisów prawnych </w:t>
      </w:r>
      <w:r>
        <w:rPr>
          <w:rFonts w:ascii="Arial" w:hAnsi="Arial" w:cs="Arial"/>
          <w:bCs/>
        </w:rPr>
        <w:br/>
        <w:t xml:space="preserve">i wytycznych dotyczących instrumentu RLKS. </w:t>
      </w:r>
    </w:p>
    <w:p w14:paraId="7C462D58" w14:textId="77777777" w:rsidR="007537DE" w:rsidRDefault="007537DE">
      <w:pPr>
        <w:spacing w:after="0" w:line="240" w:lineRule="auto"/>
        <w:jc w:val="both"/>
        <w:rPr>
          <w:rFonts w:ascii="Arial" w:hAnsi="Arial" w:cs="Arial"/>
          <w:bCs/>
        </w:rPr>
      </w:pPr>
    </w:p>
    <w:p w14:paraId="2B469011" w14:textId="77777777" w:rsidR="007537DE" w:rsidRDefault="001F31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Kryteria spełniają następujące warunki: </w:t>
      </w:r>
    </w:p>
    <w:p w14:paraId="4D11A2D5" w14:textId="77777777" w:rsidR="007537DE" w:rsidRDefault="007537DE">
      <w:pPr>
        <w:spacing w:after="0" w:line="240" w:lineRule="auto"/>
        <w:jc w:val="both"/>
        <w:rPr>
          <w:rFonts w:ascii="Arial" w:hAnsi="Arial" w:cs="Arial"/>
          <w:b/>
        </w:rPr>
      </w:pPr>
    </w:p>
    <w:p w14:paraId="38A0AA3C" w14:textId="77777777" w:rsidR="007537DE" w:rsidRDefault="001F3196">
      <w:pPr>
        <w:spacing w:after="0" w:line="24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 xml:space="preserve">powiązania z LSR - przyczyniają się do realizacji założeń LSR poprzez logiczne powiązanie ze stwierdzonymi potrzebami, określonym celem oraz wskaźnikami określonymi w danym przedsięwzięciu; </w:t>
      </w:r>
    </w:p>
    <w:p w14:paraId="06AF8602" w14:textId="77777777" w:rsidR="007537DE" w:rsidRDefault="001F3196">
      <w:pPr>
        <w:spacing w:after="0" w:line="240" w:lineRule="auto"/>
        <w:ind w:left="142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 xml:space="preserve">efektywności - przyczyniają się do wyboru wniosków o powierzenie grantów, które najefektywniej służą osiąganiu </w:t>
      </w:r>
      <w:proofErr w:type="gramStart"/>
      <w:r>
        <w:rPr>
          <w:rFonts w:ascii="Arial" w:hAnsi="Arial" w:cs="Arial"/>
          <w:bCs/>
        </w:rPr>
        <w:t>określonych  w</w:t>
      </w:r>
      <w:proofErr w:type="gramEnd"/>
      <w:r>
        <w:rPr>
          <w:rFonts w:ascii="Arial" w:hAnsi="Arial" w:cs="Arial"/>
          <w:bCs/>
        </w:rPr>
        <w:t xml:space="preserve"> LSR wskaźników produktu i rezultatu; </w:t>
      </w:r>
    </w:p>
    <w:p w14:paraId="16B4B5C6" w14:textId="77777777" w:rsidR="007537DE" w:rsidRDefault="001F3196">
      <w:pPr>
        <w:spacing w:after="0" w:line="24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>mierzalności - są mierzalne i posiadają dodatkowe opisy i definicje, pozwalające na ich właściwe zrozumienie i zastosowanie;</w:t>
      </w:r>
    </w:p>
    <w:p w14:paraId="2DAE2581" w14:textId="77777777" w:rsidR="007537DE" w:rsidRDefault="001F3196">
      <w:pPr>
        <w:spacing w:after="0" w:line="24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>przejrzystości - sformułowane tak, aby jasno z nich wynikało jakie warunki muszą być spełnione do przyznania określonej liczby punktów;</w:t>
      </w:r>
    </w:p>
    <w:p w14:paraId="0CE17EAA" w14:textId="77777777" w:rsidR="007537DE" w:rsidRDefault="001F3196">
      <w:pPr>
        <w:spacing w:after="0" w:line="24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ab/>
        <w:t>obiektywizmu i braku dyskryminacji.</w:t>
      </w:r>
    </w:p>
    <w:p w14:paraId="41C4E718" w14:textId="77777777" w:rsidR="007537DE" w:rsidRDefault="007537DE">
      <w:pPr>
        <w:spacing w:after="0" w:line="240" w:lineRule="auto"/>
        <w:jc w:val="both"/>
        <w:rPr>
          <w:rFonts w:ascii="Arial" w:hAnsi="Arial" w:cs="Arial"/>
          <w:bCs/>
        </w:rPr>
      </w:pPr>
    </w:p>
    <w:p w14:paraId="39E26B6C" w14:textId="77777777" w:rsidR="007537DE" w:rsidRDefault="001F31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podzielone są na:</w:t>
      </w:r>
    </w:p>
    <w:p w14:paraId="3E3FD0B2" w14:textId="77777777" w:rsidR="007537DE" w:rsidRDefault="007537DE">
      <w:pPr>
        <w:spacing w:after="0" w:line="240" w:lineRule="auto"/>
        <w:jc w:val="both"/>
        <w:rPr>
          <w:rFonts w:ascii="Arial" w:hAnsi="Arial" w:cs="Arial"/>
          <w:b/>
        </w:rPr>
      </w:pPr>
    </w:p>
    <w:p w14:paraId="31361AED" w14:textId="77777777" w:rsidR="007537DE" w:rsidRDefault="001F3196">
      <w:pPr>
        <w:spacing w:after="0" w:line="240" w:lineRule="auto"/>
        <w:ind w:left="284" w:hanging="284"/>
        <w:jc w:val="both"/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kryteria dostępowe</w:t>
      </w:r>
      <w:r>
        <w:rPr>
          <w:rFonts w:ascii="Arial" w:hAnsi="Arial" w:cs="Arial"/>
          <w:bCs/>
        </w:rPr>
        <w:t xml:space="preserve"> - weryfikowane na zasadzie „0-1” - Czy kryterium jest spełnione? (TAK/NIE) – kryteria formalne służące określeniu formalnej zgodności wniosku z zasadami naboru, zgodności treści wniosku z prawem krajowym i UE;</w:t>
      </w:r>
    </w:p>
    <w:p w14:paraId="03B3BCE9" w14:textId="77777777" w:rsidR="007537DE" w:rsidRDefault="001F3196">
      <w:pPr>
        <w:spacing w:after="0" w:line="240" w:lineRule="auto"/>
        <w:ind w:left="284" w:hanging="284"/>
        <w:jc w:val="both"/>
      </w:pPr>
      <w:r>
        <w:rPr>
          <w:rFonts w:ascii="Arial" w:hAnsi="Arial" w:cs="Arial"/>
          <w:bCs/>
        </w:rPr>
        <w:t>b)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kryteria punktowane</w:t>
      </w:r>
      <w:r>
        <w:rPr>
          <w:rFonts w:ascii="Arial" w:hAnsi="Arial" w:cs="Arial"/>
          <w:bCs/>
        </w:rPr>
        <w:t xml:space="preserve"> - weryfikowane na podstawie oceny punktowej - służące do oceny i wyboru </w:t>
      </w:r>
      <w:proofErr w:type="spellStart"/>
      <w:r>
        <w:rPr>
          <w:rFonts w:ascii="Arial" w:hAnsi="Arial" w:cs="Arial"/>
          <w:bCs/>
        </w:rPr>
        <w:t>grantobiorców</w:t>
      </w:r>
      <w:proofErr w:type="spellEnd"/>
      <w:r>
        <w:rPr>
          <w:rFonts w:ascii="Arial" w:hAnsi="Arial" w:cs="Arial"/>
          <w:bCs/>
        </w:rPr>
        <w:t xml:space="preserve"> najlepiej przyczyniających się do realizacji założeń i wskaźników LSR. Kryteria wynikają z analizy problemów i potrzeb społeczności lokalnej. Kryteria te będą premiowały te operacje/projekty grantowe, które w największym stopniu przyczynią się do realizacji założeń LSR – będą odpowiadały na zdiagnozowane podczas konsultacji społecznych potrzeby i problemy lokalnej społeczności, jak również będą realizowały w większym, aniżeli jest to wymagane, stopniu założenia danego programu.</w:t>
      </w:r>
    </w:p>
    <w:p w14:paraId="2162DCB6" w14:textId="77777777" w:rsidR="007537DE" w:rsidRDefault="001F3196">
      <w:pPr>
        <w:spacing w:after="0" w:line="240" w:lineRule="auto"/>
        <w:ind w:left="567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Kryteria te będą miały przyznane wagi punktowe, które wnioskodawca musi osiągnąć w takim stopniu, by uzyskać minimalną liczbę punktów,</w:t>
      </w:r>
    </w:p>
    <w:p w14:paraId="68B9F015" w14:textId="77777777" w:rsidR="007537DE" w:rsidRDefault="001F3196">
      <w:pPr>
        <w:spacing w:after="0" w:line="240" w:lineRule="auto"/>
        <w:ind w:left="567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która każdorazowo będzie wskazana w ogłoszeniu o naborze. </w:t>
      </w:r>
    </w:p>
    <w:p w14:paraId="403C37C9" w14:textId="77777777" w:rsidR="007537DE" w:rsidRPr="008D3E7A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  <w:color w:val="0D0D0D" w:themeColor="text1" w:themeTint="F2"/>
        </w:rPr>
      </w:pPr>
      <w:r>
        <w:rPr>
          <w:rFonts w:ascii="Arial" w:hAnsi="Arial" w:cs="Arial"/>
          <w:bCs/>
        </w:rPr>
        <w:tab/>
        <w:t xml:space="preserve"> </w:t>
      </w:r>
      <w:r w:rsidRPr="008D3E7A">
        <w:rPr>
          <w:rFonts w:ascii="Arial" w:hAnsi="Arial" w:cs="Arial"/>
          <w:bCs/>
          <w:color w:val="0D0D0D" w:themeColor="text1" w:themeTint="F2"/>
        </w:rPr>
        <w:br/>
        <w:t>Na podstawie ocen ze wszystkich wniosków sporządza się:</w:t>
      </w:r>
    </w:p>
    <w:p w14:paraId="60F6ED48" w14:textId="77777777" w:rsidR="00AA709F" w:rsidRPr="008D3E7A" w:rsidRDefault="00AA709F">
      <w:pPr>
        <w:spacing w:after="0" w:line="240" w:lineRule="auto"/>
        <w:ind w:left="284" w:hanging="284"/>
        <w:jc w:val="both"/>
        <w:rPr>
          <w:rFonts w:ascii="Arial" w:hAnsi="Arial" w:cs="Arial"/>
          <w:bCs/>
          <w:color w:val="0D0D0D" w:themeColor="text1" w:themeTint="F2"/>
        </w:rPr>
      </w:pPr>
    </w:p>
    <w:p w14:paraId="4A6EAF73" w14:textId="41F04EFD" w:rsidR="007537DE" w:rsidRPr="008D3E7A" w:rsidRDefault="00AA709F" w:rsidP="00AA709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</w:rPr>
      </w:pPr>
      <w:r w:rsidRPr="008D3E7A">
        <w:rPr>
          <w:rFonts w:ascii="Arial" w:hAnsi="Arial" w:cs="Arial"/>
          <w:bCs/>
          <w:color w:val="0D0D0D" w:themeColor="text1" w:themeTint="F2"/>
        </w:rPr>
        <w:t xml:space="preserve">Listę ocenionych i wybranych </w:t>
      </w:r>
      <w:proofErr w:type="spellStart"/>
      <w:r w:rsidRPr="008D3E7A">
        <w:rPr>
          <w:rFonts w:ascii="Arial" w:hAnsi="Arial" w:cs="Arial"/>
          <w:bCs/>
          <w:color w:val="0D0D0D" w:themeColor="text1" w:themeTint="F2"/>
        </w:rPr>
        <w:t>grantobiorców</w:t>
      </w:r>
      <w:proofErr w:type="spellEnd"/>
      <w:r w:rsidRPr="008D3E7A">
        <w:rPr>
          <w:rFonts w:ascii="Arial" w:hAnsi="Arial" w:cs="Arial"/>
          <w:bCs/>
          <w:color w:val="0D0D0D" w:themeColor="text1" w:themeTint="F2"/>
        </w:rPr>
        <w:t>, ze wskazaniem projektów mieszczących się w limicie środków wskazanym w ogłoszeniu o naborze.</w:t>
      </w:r>
    </w:p>
    <w:p w14:paraId="134DB9A1" w14:textId="77777777" w:rsidR="007537DE" w:rsidRDefault="007537DE">
      <w:pPr>
        <w:spacing w:after="0" w:line="240" w:lineRule="auto"/>
        <w:jc w:val="both"/>
        <w:rPr>
          <w:rFonts w:ascii="Arial" w:hAnsi="Arial" w:cs="Arial"/>
          <w:bCs/>
        </w:rPr>
      </w:pPr>
    </w:p>
    <w:p w14:paraId="27D709B7" w14:textId="77777777" w:rsidR="007537DE" w:rsidRDefault="007537DE">
      <w:pPr>
        <w:spacing w:after="0" w:line="240" w:lineRule="auto"/>
        <w:rPr>
          <w:rFonts w:ascii="Arial" w:hAnsi="Arial" w:cs="Arial"/>
          <w:bCs/>
        </w:rPr>
      </w:pPr>
    </w:p>
    <w:p w14:paraId="141A22E2" w14:textId="77777777" w:rsidR="00561E0B" w:rsidRDefault="00561E0B">
      <w:pPr>
        <w:spacing w:after="0" w:line="240" w:lineRule="auto"/>
        <w:rPr>
          <w:rFonts w:ascii="Arial" w:hAnsi="Arial" w:cs="Arial"/>
          <w:bCs/>
        </w:rPr>
      </w:pPr>
    </w:p>
    <w:p w14:paraId="7F9C7C1B" w14:textId="77777777" w:rsidR="007537DE" w:rsidRDefault="007537DE">
      <w:pPr>
        <w:spacing w:after="0" w:line="240" w:lineRule="auto"/>
        <w:rPr>
          <w:rFonts w:ascii="Arial" w:hAnsi="Arial" w:cs="Arial"/>
          <w:bCs/>
        </w:rPr>
      </w:pPr>
    </w:p>
    <w:p w14:paraId="315214B7" w14:textId="77777777" w:rsidR="007537DE" w:rsidRDefault="001F319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Pozytywna ocena projektu jest możliwa w przypadku:</w:t>
      </w:r>
    </w:p>
    <w:p w14:paraId="34F18287" w14:textId="77777777" w:rsidR="007537DE" w:rsidRDefault="001F3196">
      <w:pPr>
        <w:spacing w:after="0" w:line="24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uzyskania wszystkich odpowiedzi TAK za spełnienie kryteriów dostępu oraz</w:t>
      </w:r>
    </w:p>
    <w:p w14:paraId="30294AE9" w14:textId="77777777" w:rsidR="007537DE" w:rsidRDefault="001F3196">
      <w:pPr>
        <w:spacing w:after="0" w:line="240" w:lineRule="auto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</w:t>
      </w:r>
      <w:r>
        <w:rPr>
          <w:rFonts w:ascii="Arial" w:hAnsi="Arial" w:cs="Arial"/>
          <w:bCs/>
        </w:rPr>
        <w:tab/>
        <w:t>uzyskania minimum punktowego w określonych kryteriach punktowanych.</w:t>
      </w:r>
    </w:p>
    <w:p w14:paraId="3B2BACA1" w14:textId="77777777" w:rsidR="007537DE" w:rsidRDefault="007537DE">
      <w:pPr>
        <w:spacing w:after="0" w:line="240" w:lineRule="auto"/>
        <w:rPr>
          <w:rFonts w:ascii="Arial" w:hAnsi="Arial" w:cs="Arial"/>
          <w:bCs/>
        </w:rPr>
      </w:pPr>
    </w:p>
    <w:p w14:paraId="158A6A1E" w14:textId="77777777" w:rsidR="007537DE" w:rsidRDefault="007537DE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EBE0CA6" w14:textId="1600837A" w:rsidR="007537DE" w:rsidRPr="008D3E7A" w:rsidRDefault="001F3196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u w:val="single"/>
        </w:rPr>
      </w:pPr>
      <w:r>
        <w:rPr>
          <w:rFonts w:ascii="Arial" w:hAnsi="Arial" w:cs="Arial"/>
          <w:bCs/>
          <w:u w:val="single"/>
        </w:rPr>
        <w:t xml:space="preserve">W przypadku wniosków o powierzenie grantu, które mają o równą liczbę punktów, o miejscu </w:t>
      </w:r>
      <w:r w:rsidRPr="008D3E7A">
        <w:rPr>
          <w:rFonts w:ascii="Arial" w:hAnsi="Arial" w:cs="Arial"/>
          <w:bCs/>
          <w:color w:val="0D0D0D" w:themeColor="text1" w:themeTint="F2"/>
          <w:u w:val="single"/>
        </w:rPr>
        <w:t xml:space="preserve">na </w:t>
      </w:r>
      <w:r w:rsidRPr="008D3E7A">
        <w:rPr>
          <w:rFonts w:ascii="Arial" w:hAnsi="Arial" w:cs="Arial"/>
          <w:b/>
          <w:color w:val="0D0D0D" w:themeColor="text1" w:themeTint="F2"/>
          <w:u w:val="single"/>
        </w:rPr>
        <w:t xml:space="preserve">Liście </w:t>
      </w:r>
      <w:r w:rsidR="008B4F7C" w:rsidRPr="008D3E7A">
        <w:rPr>
          <w:rFonts w:ascii="Arial" w:hAnsi="Arial" w:cs="Arial"/>
          <w:b/>
          <w:color w:val="0D0D0D" w:themeColor="text1" w:themeTint="F2"/>
          <w:u w:val="single"/>
        </w:rPr>
        <w:t xml:space="preserve">ocenionych wniosków i wybranych </w:t>
      </w:r>
      <w:proofErr w:type="gramStart"/>
      <w:r w:rsidR="008B4F7C" w:rsidRPr="008D3E7A">
        <w:rPr>
          <w:rFonts w:ascii="Arial" w:hAnsi="Arial" w:cs="Arial"/>
          <w:b/>
          <w:color w:val="0D0D0D" w:themeColor="text1" w:themeTint="F2"/>
          <w:u w:val="single"/>
        </w:rPr>
        <w:t xml:space="preserve">do </w:t>
      </w:r>
      <w:proofErr w:type="spellStart"/>
      <w:r w:rsidR="008B4F7C" w:rsidRPr="008D3E7A">
        <w:rPr>
          <w:rFonts w:ascii="Arial" w:hAnsi="Arial" w:cs="Arial"/>
          <w:b/>
          <w:color w:val="0D0D0D" w:themeColor="text1" w:themeTint="F2"/>
          <w:u w:val="single"/>
        </w:rPr>
        <w:t>do</w:t>
      </w:r>
      <w:proofErr w:type="spellEnd"/>
      <w:proofErr w:type="gramEnd"/>
      <w:r w:rsidR="008B4F7C" w:rsidRPr="008D3E7A">
        <w:rPr>
          <w:rFonts w:ascii="Arial" w:hAnsi="Arial" w:cs="Arial"/>
          <w:b/>
          <w:color w:val="0D0D0D" w:themeColor="text1" w:themeTint="F2"/>
          <w:u w:val="single"/>
        </w:rPr>
        <w:t xml:space="preserve"> </w:t>
      </w:r>
      <w:proofErr w:type="gramStart"/>
      <w:r w:rsidR="008B4F7C" w:rsidRPr="008D3E7A">
        <w:rPr>
          <w:rFonts w:ascii="Arial" w:hAnsi="Arial" w:cs="Arial"/>
          <w:b/>
          <w:color w:val="0D0D0D" w:themeColor="text1" w:themeTint="F2"/>
          <w:u w:val="single"/>
        </w:rPr>
        <w:t xml:space="preserve">dofinansowania </w:t>
      </w:r>
      <w:r w:rsidRPr="008D3E7A">
        <w:rPr>
          <w:rFonts w:ascii="Arial" w:hAnsi="Arial" w:cs="Arial"/>
          <w:bCs/>
          <w:color w:val="0D0D0D" w:themeColor="text1" w:themeTint="F2"/>
          <w:u w:val="single"/>
        </w:rPr>
        <w:t xml:space="preserve"> wg</w:t>
      </w:r>
      <w:proofErr w:type="gramEnd"/>
      <w:r w:rsidRPr="008D3E7A">
        <w:rPr>
          <w:rFonts w:ascii="Arial" w:hAnsi="Arial" w:cs="Arial"/>
          <w:bCs/>
          <w:color w:val="0D0D0D" w:themeColor="text1" w:themeTint="F2"/>
          <w:u w:val="single"/>
        </w:rPr>
        <w:t xml:space="preserve"> liczby uzyskanych punktów, ze wskazaniem projektów mieszczących się w limicie środków wskazanym w ogłoszeniu o </w:t>
      </w:r>
      <w:proofErr w:type="spellStart"/>
      <w:proofErr w:type="gramStart"/>
      <w:r w:rsidRPr="008D3E7A">
        <w:rPr>
          <w:rFonts w:ascii="Arial" w:hAnsi="Arial" w:cs="Arial"/>
          <w:bCs/>
          <w:color w:val="0D0D0D" w:themeColor="text1" w:themeTint="F2"/>
          <w:u w:val="single"/>
        </w:rPr>
        <w:t>naborze.decydują</w:t>
      </w:r>
      <w:proofErr w:type="spellEnd"/>
      <w:proofErr w:type="gramEnd"/>
      <w:r w:rsidRPr="008D3E7A">
        <w:rPr>
          <w:rFonts w:ascii="Arial" w:hAnsi="Arial" w:cs="Arial"/>
          <w:bCs/>
          <w:color w:val="0D0D0D" w:themeColor="text1" w:themeTint="F2"/>
          <w:u w:val="single"/>
        </w:rPr>
        <w:t xml:space="preserve"> kryteria rozstrzygające dla danego przedsięwzięcia.</w:t>
      </w:r>
      <w:r w:rsidRPr="008D3E7A">
        <w:rPr>
          <w:rFonts w:ascii="Arial" w:hAnsi="Arial" w:cs="Arial"/>
          <w:bCs/>
          <w:color w:val="0D0D0D" w:themeColor="text1" w:themeTint="F2"/>
        </w:rPr>
        <w:t xml:space="preserve"> </w:t>
      </w:r>
      <w:r w:rsidRPr="008D3E7A">
        <w:rPr>
          <w:rFonts w:ascii="Arial" w:hAnsi="Arial" w:cs="Arial"/>
          <w:bCs/>
          <w:color w:val="0D0D0D" w:themeColor="text1" w:themeTint="F2"/>
        </w:rPr>
        <w:tab/>
      </w:r>
    </w:p>
    <w:p w14:paraId="4BF81A57" w14:textId="77777777" w:rsidR="007537DE" w:rsidRPr="008D3E7A" w:rsidRDefault="007537DE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14:paraId="081753E0" w14:textId="77777777" w:rsidR="007537DE" w:rsidRPr="008D3E7A" w:rsidRDefault="001F3196">
      <w:pPr>
        <w:widowControl w:val="0"/>
        <w:spacing w:after="0" w:line="240" w:lineRule="auto"/>
        <w:jc w:val="both"/>
        <w:rPr>
          <w:rFonts w:ascii="Arial" w:eastAsia="Courier New" w:hAnsi="Arial" w:cs="Arial"/>
          <w:bCs/>
          <w:color w:val="0D0D0D" w:themeColor="text1" w:themeTint="F2"/>
          <w:lang w:eastAsia="pl-PL"/>
        </w:rPr>
      </w:pPr>
      <w:r w:rsidRPr="008D3E7A">
        <w:rPr>
          <w:rFonts w:ascii="Arial" w:eastAsia="Courier New" w:hAnsi="Arial" w:cs="Arial"/>
          <w:bCs/>
          <w:color w:val="0D0D0D" w:themeColor="text1" w:themeTint="F2"/>
          <w:lang w:eastAsia="pl-PL"/>
        </w:rPr>
        <w:t xml:space="preserve">Rada LGD dokonuje oceny i wyboru projektów tylko i wyłącznie w oparciu o kryteria zaakceptowanie przez Zarządu Województwa Kujawsko-Pomorskiego, z wyłączeniem </w:t>
      </w:r>
      <w:proofErr w:type="gramStart"/>
      <w:r w:rsidRPr="008D3E7A">
        <w:rPr>
          <w:rFonts w:ascii="Arial" w:eastAsia="Courier New" w:hAnsi="Arial" w:cs="Arial"/>
          <w:bCs/>
          <w:color w:val="0D0D0D" w:themeColor="text1" w:themeTint="F2"/>
          <w:lang w:eastAsia="pl-PL"/>
        </w:rPr>
        <w:t>sytuacji</w:t>
      </w:r>
      <w:proofErr w:type="gramEnd"/>
      <w:r w:rsidRPr="008D3E7A">
        <w:rPr>
          <w:rFonts w:ascii="Arial" w:eastAsia="Courier New" w:hAnsi="Arial" w:cs="Arial"/>
          <w:bCs/>
          <w:color w:val="0D0D0D" w:themeColor="text1" w:themeTint="F2"/>
          <w:lang w:eastAsia="pl-PL"/>
        </w:rPr>
        <w:t xml:space="preserve"> gdy w trakcie dokonywania oceny i wyboru projektów dokumenty nadrzędne, szczególnie wyżej wymienione, ulegną aktualizacji, to oceny i wyboru projektów, dokonuje się z uwzględnieniem tych zmian. </w:t>
      </w:r>
      <w:r w:rsidRPr="008D3E7A">
        <w:rPr>
          <w:rFonts w:ascii="Arial" w:eastAsia="Courier New" w:hAnsi="Arial" w:cs="Arial"/>
          <w:bCs/>
          <w:color w:val="0D0D0D" w:themeColor="text1" w:themeTint="F2"/>
          <w:lang w:eastAsia="pl-PL"/>
        </w:rPr>
        <w:tab/>
      </w:r>
      <w:r w:rsidRPr="008D3E7A">
        <w:rPr>
          <w:rFonts w:ascii="Arial" w:eastAsia="Courier New" w:hAnsi="Arial" w:cs="Arial"/>
          <w:bCs/>
          <w:color w:val="0D0D0D" w:themeColor="text1" w:themeTint="F2"/>
          <w:lang w:eastAsia="pl-PL"/>
        </w:rPr>
        <w:br/>
        <w:t xml:space="preserve">Fakt ten należy odnotować w protokole z dokonywanej przez Rade LGD oceny i wyboru projektu. </w:t>
      </w:r>
    </w:p>
    <w:p w14:paraId="01F96ACE" w14:textId="77777777" w:rsidR="007537DE" w:rsidRPr="008D3E7A" w:rsidRDefault="007537DE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2AD05B06" w14:textId="77777777" w:rsidR="007537DE" w:rsidRPr="008D3E7A" w:rsidRDefault="007537DE" w:rsidP="00942777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14:paraId="1640C2CF" w14:textId="77777777" w:rsidR="007537DE" w:rsidRPr="008D3E7A" w:rsidRDefault="007537DE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4D7E3991" w14:textId="77777777" w:rsidR="007537DE" w:rsidRPr="008D3E7A" w:rsidRDefault="007537DE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7E735C9E" w14:textId="66D8851F" w:rsidR="007537DE" w:rsidRPr="008D3E7A" w:rsidRDefault="001F3196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8D3E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PROCEDURA USTALANIA LUB ZMIANY KRYTERIÓW OCENY I WYBORU </w:t>
      </w:r>
      <w:r w:rsidR="00952F21" w:rsidRPr="008D3E7A">
        <w:rPr>
          <w:rFonts w:ascii="Arial" w:hAnsi="Arial" w:cs="Arial"/>
          <w:b/>
          <w:color w:val="0D0D0D" w:themeColor="text1" w:themeTint="F2"/>
          <w:sz w:val="28"/>
          <w:szCs w:val="28"/>
        </w:rPr>
        <w:t>GRANTOBIORCÓW</w:t>
      </w:r>
    </w:p>
    <w:p w14:paraId="2AB51DA6" w14:textId="77777777" w:rsidR="007537DE" w:rsidRDefault="007537DE">
      <w:pPr>
        <w:spacing w:after="0" w:line="240" w:lineRule="auto"/>
        <w:jc w:val="center"/>
        <w:rPr>
          <w:rFonts w:ascii="Arial" w:hAnsi="Arial" w:cs="Arial"/>
          <w:b/>
        </w:rPr>
      </w:pPr>
    </w:p>
    <w:p w14:paraId="013F33B6" w14:textId="77777777" w:rsidR="007537DE" w:rsidRDefault="001F31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Kryteria oceny i wyboru mogą ulegać pewnym modyfikacjom lub zmianom na skutek zmieniających się uwarunkowań społeczno-gospodarczych obszaru objętego LSR, w wyniku monitoringu wdrażania LSR i oceny osiągania założonych w LSR celów, jak również w przypadku wystąpienia trudności w procesie oceny i wyboru zgłoszonych przez członków Rady LGD, a także na wezwanie Zarządu Województwa Kujawsko-Pomorskiego.</w:t>
      </w:r>
    </w:p>
    <w:p w14:paraId="70AF8EC0" w14:textId="77777777" w:rsidR="007537DE" w:rsidRDefault="007537DE">
      <w:pPr>
        <w:spacing w:after="0" w:line="240" w:lineRule="auto"/>
        <w:rPr>
          <w:rFonts w:ascii="Arial" w:hAnsi="Arial" w:cs="Arial"/>
          <w:bCs/>
        </w:rPr>
      </w:pPr>
    </w:p>
    <w:p w14:paraId="1A046074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  <w:t>Zmiana kryteriów może nastąpić w wyniku:</w:t>
      </w:r>
    </w:p>
    <w:p w14:paraId="34F4F52B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a) zmiany obowiązujących przepisów prawnych regulujących zagadnienia objęte LSR,</w:t>
      </w:r>
    </w:p>
    <w:p w14:paraId="346E40D9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b) zmiany dokumentów programowych,</w:t>
      </w:r>
    </w:p>
    <w:p w14:paraId="04BA9097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c) aktualizacji danych,</w:t>
      </w:r>
    </w:p>
    <w:p w14:paraId="04499679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d) wniosków od lokalnej społeczności,</w:t>
      </w:r>
    </w:p>
    <w:p w14:paraId="161E5A7B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e) wniosków członków LGD lub ich organów,</w:t>
      </w:r>
    </w:p>
    <w:p w14:paraId="2581CED7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f) przeprowadzonej ewaluacji, tj. wniosków wynikających z praktycznego stosowania LSR,</w:t>
      </w:r>
    </w:p>
    <w:p w14:paraId="7FE8E3BF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g) zmian uwarunkowań społeczno-gospodarczych.</w:t>
      </w:r>
    </w:p>
    <w:p w14:paraId="247607D5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>
        <w:rPr>
          <w:rFonts w:ascii="Arial" w:hAnsi="Arial" w:cs="Arial"/>
          <w:bCs/>
        </w:rPr>
        <w:tab/>
        <w:t>Zmiany kryteriów dokonuje się:</w:t>
      </w:r>
    </w:p>
    <w:p w14:paraId="5F172A27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a) na wniosek Rady LGD;</w:t>
      </w:r>
    </w:p>
    <w:p w14:paraId="16B907B7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b) na wniosek członków Stowarzyszenia LGD,</w:t>
      </w:r>
    </w:p>
    <w:p w14:paraId="5369C063" w14:textId="77777777" w:rsidR="007537DE" w:rsidRDefault="001F3196">
      <w:pPr>
        <w:spacing w:after="0" w:line="24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c) na wniosek Zarządu LGD,</w:t>
      </w:r>
    </w:p>
    <w:p w14:paraId="1B0665B1" w14:textId="77777777" w:rsidR="007537DE" w:rsidRDefault="001F3196">
      <w:pPr>
        <w:spacing w:after="0" w:line="24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d) na wniosek społeczności lokalnej,</w:t>
      </w:r>
    </w:p>
    <w:p w14:paraId="5F77F4F7" w14:textId="77777777" w:rsidR="007537DE" w:rsidRDefault="001F3196">
      <w:pPr>
        <w:spacing w:after="0" w:line="24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e) na podstawie wezwań Zarządu Województwa.</w:t>
      </w:r>
    </w:p>
    <w:p w14:paraId="17FD9461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  <w:t xml:space="preserve">W przypadku zmian na podstawie wezwania ZW lub zmian wynikających z dostosowywania zapisów do obowiązujących przepisów prawnych lub/i zmian programowych lub/i aktualizacji danych zmiany mogą zostać wprowadzone w drodze uchwały Zarządu LGD. </w:t>
      </w:r>
    </w:p>
    <w:p w14:paraId="76320F3F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  <w:t>W pozostałych przypadkach zaproponowane zmiany zgłaszane są do Biura LGD w formie wniosków elektronicznych lub w wersji papierowej i powinny zawierać:</w:t>
      </w:r>
    </w:p>
    <w:p w14:paraId="797FE50F" w14:textId="77777777" w:rsidR="007537DE" w:rsidRDefault="001F3196">
      <w:p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ab/>
        <w:t>uzasadnienie proponowanych zmian, w tym wskazanie ich potrzeby,</w:t>
      </w:r>
    </w:p>
    <w:p w14:paraId="3A837659" w14:textId="77777777" w:rsidR="007537DE" w:rsidRDefault="001F3196">
      <w:p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</w:t>
      </w:r>
      <w:r>
        <w:rPr>
          <w:rFonts w:ascii="Arial" w:hAnsi="Arial" w:cs="Arial"/>
          <w:bCs/>
        </w:rPr>
        <w:tab/>
        <w:t>określenie powiązania z diagnozą obszaru LSR (jeśli dotyczy),</w:t>
      </w:r>
    </w:p>
    <w:p w14:paraId="605FFE96" w14:textId="77777777" w:rsidR="007537DE" w:rsidRDefault="001F3196">
      <w:pPr>
        <w:spacing w:after="0" w:line="240" w:lineRule="auto"/>
        <w:ind w:left="709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</w:t>
      </w:r>
      <w:r>
        <w:rPr>
          <w:rFonts w:ascii="Arial" w:hAnsi="Arial" w:cs="Arial"/>
          <w:bCs/>
        </w:rPr>
        <w:tab/>
        <w:t xml:space="preserve">określenie wpływu na osiągnięcie zaplanowanych w LSR wskaźników produktu, rezultatu i oddziaływania.  </w:t>
      </w:r>
    </w:p>
    <w:p w14:paraId="5DB69A8E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ab/>
        <w:t xml:space="preserve">Zgłoszone propozycje poddawane są weryfikacji pod kątem merytorycznym przez Zespół ds. zmiany kryteriów, składający się co najmniej </w:t>
      </w:r>
      <w:r>
        <w:rPr>
          <w:rFonts w:ascii="Arial" w:hAnsi="Arial" w:cs="Arial"/>
          <w:bCs/>
        </w:rPr>
        <w:br/>
        <w:t xml:space="preserve">z pracowników Biura LGD, Przewodniczącego Rady LGD lub osoby przez niego wytypowanej oraz członka Zarządu. </w:t>
      </w:r>
    </w:p>
    <w:p w14:paraId="4154202A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ab/>
        <w:t xml:space="preserve">Propozycja zmian publikowana jest na stronie internetowej LGD w celu skonsultowania ze społecznością lokalną. </w:t>
      </w:r>
    </w:p>
    <w:p w14:paraId="5362B849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ab/>
        <w:t xml:space="preserve">Po zakończeniu procesu konsultacji, Zarząd LGD zgłasza propozycję zmiany </w:t>
      </w:r>
      <w:proofErr w:type="gramStart"/>
      <w:r>
        <w:rPr>
          <w:rFonts w:ascii="Arial" w:hAnsi="Arial" w:cs="Arial"/>
          <w:bCs/>
        </w:rPr>
        <w:t>do  Zarządu</w:t>
      </w:r>
      <w:proofErr w:type="gramEnd"/>
      <w:r>
        <w:rPr>
          <w:rFonts w:ascii="Arial" w:hAnsi="Arial" w:cs="Arial"/>
          <w:bCs/>
        </w:rPr>
        <w:t xml:space="preserve"> Województwa w celu uzyskania akceptacji.</w:t>
      </w:r>
    </w:p>
    <w:p w14:paraId="0D4497DF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ab/>
        <w:t xml:space="preserve">Po uzyskaniu akceptacji przez Zarząd Województwa (ZW), kryteria oceny i wyboru są przyjmowane w drodze uchwały przez Zarząd LGD. </w:t>
      </w:r>
    </w:p>
    <w:p w14:paraId="1B830734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9.</w:t>
      </w:r>
      <w:r>
        <w:rPr>
          <w:rFonts w:ascii="Arial" w:hAnsi="Arial" w:cs="Arial"/>
          <w:bCs/>
        </w:rPr>
        <w:tab/>
        <w:t>Informacja o przyjętych kryteriach publikowana jest na stronie Internetowej LGD.</w:t>
      </w:r>
    </w:p>
    <w:p w14:paraId="0CB80A6B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10. Pisemna akceptacja ZW będzie skutkowała wprowadzeniem nowych kryteriów oraz zmianami dokumentacji w procedurze oceny pod względem spełniania kryteriów oceny i wyboru projektów grantowych.  </w:t>
      </w:r>
    </w:p>
    <w:p w14:paraId="0B746B03" w14:textId="77777777" w:rsidR="007537DE" w:rsidRDefault="001F3196">
      <w:pPr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11. Kryteria obowiązują dla konkursów ogłoszonych po dniu ich zatwierdzenia.</w:t>
      </w:r>
    </w:p>
    <w:p w14:paraId="0C3A1827" w14:textId="77777777" w:rsidR="007537DE" w:rsidRDefault="007537DE">
      <w:pPr>
        <w:spacing w:after="0" w:line="240" w:lineRule="auto"/>
        <w:rPr>
          <w:rFonts w:ascii="Arial" w:hAnsi="Arial" w:cs="Arial"/>
          <w:b/>
        </w:rPr>
      </w:pPr>
    </w:p>
    <w:p w14:paraId="2BBD3D47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E48D9C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1951B7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260D496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7C8691E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E7569A8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9632FFD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D34F493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39761F4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1958A1C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0E01E0D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0EDB64F" w14:textId="5EE4726A" w:rsidR="007537DE" w:rsidRDefault="008D3E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\</w:t>
      </w:r>
    </w:p>
    <w:p w14:paraId="73808D65" w14:textId="77777777" w:rsidR="008D3E7A" w:rsidRDefault="008D3E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836E314" w14:textId="77777777" w:rsidR="008D3E7A" w:rsidRDefault="008D3E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5694BEB" w14:textId="77777777" w:rsidR="008D3E7A" w:rsidRDefault="008D3E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6A1BAEF" w14:textId="77777777" w:rsidR="008D3E7A" w:rsidRDefault="008D3E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77C984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07ABE78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FE9E2A0" w14:textId="77777777" w:rsidR="007537DE" w:rsidRDefault="007537DE">
      <w:pPr>
        <w:spacing w:after="0" w:line="240" w:lineRule="auto"/>
        <w:rPr>
          <w:rFonts w:ascii="Arial" w:hAnsi="Arial" w:cs="Arial"/>
          <w:b/>
          <w:sz w:val="44"/>
          <w:szCs w:val="44"/>
        </w:rPr>
      </w:pPr>
    </w:p>
    <w:p w14:paraId="2AA7F695" w14:textId="77777777" w:rsidR="007537DE" w:rsidRDefault="001F319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 xml:space="preserve"> - KRYTERIA DOSTĘPOWE - </w:t>
      </w:r>
    </w:p>
    <w:p w14:paraId="3648503C" w14:textId="77777777" w:rsidR="007537DE" w:rsidRDefault="007537D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10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3826"/>
        <w:gridCol w:w="6237"/>
        <w:gridCol w:w="2551"/>
        <w:gridCol w:w="1957"/>
      </w:tblGrid>
      <w:tr w:rsidR="007537DE" w14:paraId="080A0F85" w14:textId="77777777" w:rsidTr="00306D65">
        <w:trPr>
          <w:trHeight w:val="2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3AE0BF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CCB5C8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66B4EA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 kryterium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374722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B099D2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 weryfikacji kryterium</w:t>
            </w:r>
          </w:p>
        </w:tc>
      </w:tr>
      <w:tr w:rsidR="007537DE" w14:paraId="57746133" w14:textId="77777777" w:rsidTr="00031EA7">
        <w:trPr>
          <w:trHeight w:val="19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512C" w14:textId="4AE07696" w:rsidR="007537DE" w:rsidRPr="00306D65" w:rsidRDefault="00306D65" w:rsidP="00306D6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6D6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AFC5" w14:textId="2EE720B6" w:rsidR="007537DE" w:rsidRDefault="001F31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jest zgodny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z zapisami Regulaminem naboru wniosków</w:t>
            </w:r>
          </w:p>
          <w:p w14:paraId="65752022" w14:textId="6DAC74B3" w:rsidR="007537DE" w:rsidRDefault="007537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BCE9E" w14:textId="0033251F" w:rsidR="008D3E7A" w:rsidRDefault="001F3196" w:rsidP="008D3E7A">
            <w:pPr>
              <w:spacing w:after="0" w:line="240" w:lineRule="auto"/>
              <w:jc w:val="both"/>
              <w:rPr>
                <w:rFonts w:ascii="Arial" w:hAnsi="Arial" w:cs="Arial"/>
                <w:b/>
                <w:strike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Ocenie podlega czy projekt</w:t>
            </w:r>
            <w:r w:rsidR="00730F2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5D13475" w14:textId="0FBF09C9" w:rsidR="007537DE" w:rsidRPr="00730F20" w:rsidRDefault="001F3196" w:rsidP="008D3E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3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spełnia warunki przyznania pomocy w ramach danego funduszu określone</w:t>
            </w:r>
            <w:r w:rsidR="00726F61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w przepisach, wytycznych innych dokumentach strategicznych, </w:t>
            </w:r>
          </w:p>
          <w:p w14:paraId="0B79BC6A" w14:textId="538A6802" w:rsidR="00861C5C" w:rsidRPr="00730F20" w:rsidRDefault="00861C5C" w:rsidP="008D3E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3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jest zgodny z zapisami Regulaminu naboru, w szczególności ocenie podlega:</w:t>
            </w:r>
          </w:p>
          <w:p w14:paraId="21947FC7" w14:textId="347E5661" w:rsidR="00E02A7F" w:rsidRPr="00561E0B" w:rsidRDefault="00F87381" w:rsidP="008D3E7A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980D59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czy wniosek złożył uprawniony podmiot;</w:t>
            </w:r>
            <w:r w:rsidR="00980D59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br/>
              <w:t xml:space="preserve">- </w:t>
            </w: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zgodność z celami LSR;</w:t>
            </w: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br/>
            </w:r>
            <w:r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0B0585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czy ujęto</w:t>
            </w:r>
            <w:r w:rsidR="005C765B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="000B0585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wszystkie </w:t>
            </w:r>
            <w:r w:rsidR="00F441BB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wymagane </w:t>
            </w:r>
            <w:r w:rsidR="000B0585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wskaźniki</w:t>
            </w:r>
            <w:r w:rsidR="006214F5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;</w:t>
            </w:r>
          </w:p>
          <w:p w14:paraId="6C2AFA56" w14:textId="176FC19C" w:rsidR="001C0896" w:rsidRPr="00561E0B" w:rsidRDefault="00980D59" w:rsidP="008D3E7A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5C765B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czy </w:t>
            </w:r>
            <w:r w:rsidR="00F441BB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wsparcie dedykowane jest do wymaganej grupy docelowej</w:t>
            </w:r>
            <w:r w:rsidR="007B4635" w:rsidRPr="00561E0B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;</w:t>
            </w:r>
          </w:p>
          <w:p w14:paraId="5C18264B" w14:textId="2192B268" w:rsidR="00F87381" w:rsidRPr="00730F20" w:rsidRDefault="00F87381" w:rsidP="008D3E7A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zaplanowana liczba uczestników projektu;</w:t>
            </w:r>
          </w:p>
          <w:p w14:paraId="40CC5D1D" w14:textId="2E6C9F3D" w:rsidR="00F87381" w:rsidRPr="00730F20" w:rsidRDefault="00F87381" w:rsidP="008D3E7A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okres realizacji projektu;</w:t>
            </w: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br/>
              <w:t xml:space="preserve">- </w:t>
            </w:r>
            <w:r w:rsidR="00980D59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miejsce realizacji działań zaplanowanych w projekcie;</w:t>
            </w:r>
            <w:r w:rsidR="00980D59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br/>
              <w:t xml:space="preserve">- </w:t>
            </w:r>
            <w:r w:rsidR="001C0896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minimalna kwota wsparcia;</w:t>
            </w:r>
          </w:p>
          <w:p w14:paraId="7A76A4E7" w14:textId="54BCD263" w:rsidR="008D3E7A" w:rsidRPr="00730F20" w:rsidRDefault="001C0896" w:rsidP="00730F20">
            <w:pPr>
              <w:pStyle w:val="Akapitzlist"/>
              <w:spacing w:after="0" w:line="240" w:lineRule="auto"/>
              <w:ind w:left="323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maksymalna kwota wsparcia</w:t>
            </w:r>
            <w:r w:rsid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</w:t>
            </w:r>
          </w:p>
          <w:p w14:paraId="79EC3E1E" w14:textId="0F5A59C1" w:rsidR="008D3E7A" w:rsidRPr="00730F20" w:rsidRDefault="008D3E7A" w:rsidP="008D3E7A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</w:t>
            </w:r>
            <w:r w:rsidR="001F3196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) wniosek jest zgodny z przedmiotem naboru</w:t>
            </w:r>
            <w:r w:rsidR="00730F20" w:rsidRPr="00730F2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</w:t>
            </w:r>
          </w:p>
          <w:p w14:paraId="26F6308C" w14:textId="73DEC4E6" w:rsidR="007537DE" w:rsidRDefault="007537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11F89" w14:textId="7B2DC9D9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1F1398D9" w14:textId="77777777" w:rsidR="007537DE" w:rsidRDefault="001F319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 xml:space="preserve">odrzucenie wniosku o powierzenie </w:t>
            </w:r>
            <w:r>
              <w:rPr>
                <w:rFonts w:ascii="Arial" w:hAnsi="Arial" w:cs="Arial"/>
                <w:sz w:val="18"/>
                <w:szCs w:val="18"/>
              </w:rPr>
              <w:br/>
              <w:t>grantu</w:t>
            </w:r>
          </w:p>
          <w:p w14:paraId="4DDB7AA6" w14:textId="77777777" w:rsidR="007537DE" w:rsidRDefault="007537D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0685" w14:textId="77777777" w:rsidR="007537DE" w:rsidRDefault="001F319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Kryterium jest weryfikowane w oparciu o wniosek o powierzenie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grantu  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załączniki</w:t>
            </w:r>
          </w:p>
          <w:p w14:paraId="40F022D0" w14:textId="77777777" w:rsidR="007537DE" w:rsidRDefault="001F31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(jeśli dotyczy)</w:t>
            </w:r>
          </w:p>
        </w:tc>
      </w:tr>
      <w:tr w:rsidR="00031EA7" w14:paraId="59ED610E" w14:textId="77777777" w:rsidTr="00031EA7">
        <w:trPr>
          <w:trHeight w:val="15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805E" w14:textId="02B13819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76B2E" w14:textId="4B44C3E2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 xml:space="preserve">Wnioskodawca prowadzi biuro projektu na obszarze działania LGD „Vistula-terra </w:t>
            </w:r>
            <w:proofErr w:type="spellStart"/>
            <w:r w:rsidRPr="008D3E7A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>Culmensis</w:t>
            </w:r>
            <w:proofErr w:type="spellEnd"/>
            <w:r w:rsidRPr="008D3E7A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>”</w:t>
            </w:r>
          </w:p>
          <w:p w14:paraId="6FEBA8E6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76C1BE5C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Wyjątek dotyczący biura projektu:</w:t>
            </w:r>
          </w:p>
          <w:p w14:paraId="01B0B6C1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 przypadku Wnioskodawcy: Gmina Chełmno, Gmina Grudziądz i jednostek bezpośrednio jej podległym, które siedzibę mają na terenie miast: Chełmno lub Grudziądz dopuszcza się prowadzenie biura projektu w siedzibie Wnioskodawcy.</w:t>
            </w:r>
          </w:p>
          <w:p w14:paraId="735FA9CE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Wnioskodawcy Ci prowadzą działania tylko i wyłącznie na rzecz społeczności lokalnej z obszaru wdrażania LSR a jedynie, ze względów organizacyjnych, swoją siedzibę mają na terenie w/w miast.</w:t>
            </w:r>
          </w:p>
          <w:p w14:paraId="38023DAC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 takim wypadku kryterium uznaje się za spełnione</w:t>
            </w:r>
          </w:p>
          <w:p w14:paraId="77754773" w14:textId="4904C760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(należy wskazać TAK).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E20" w14:textId="5DF13E03" w:rsidR="00031EA7" w:rsidRPr="008D3E7A" w:rsidRDefault="00031EA7" w:rsidP="00031EA7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Ocenie podlega, czy w okresie realizacji projektu wnioskodawca prowadzi biuro projektu lub posiada siedzibę, filię, delegaturę, oddział czy inną formę działalności na obszarze działania LGD „Vistula-Terra </w:t>
            </w:r>
            <w:proofErr w:type="spellStart"/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Culmensis</w:t>
            </w:r>
            <w:proofErr w:type="spellEnd"/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”, do którego równy i osobisty dostęp mają potencjalni uczestnicy/uczestniczki projektu oraz gdzie przechowywana jest pełna oryginalna dokumentacja wdrażanego projektu (z wyłączeniem dokumentów, których miejsce przechowywania uregulowano odpowiednimi przepisami). </w:t>
            </w:r>
          </w:p>
          <w:p w14:paraId="472A044E" w14:textId="77777777" w:rsidR="00031EA7" w:rsidRPr="008D3E7A" w:rsidRDefault="00031EA7" w:rsidP="00031EA7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</w:p>
          <w:p w14:paraId="6942F48C" w14:textId="77777777" w:rsidR="00031EA7" w:rsidRPr="008D3E7A" w:rsidRDefault="00031EA7" w:rsidP="00031EA7">
            <w:pPr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767" w14:textId="77777777" w:rsidR="00031EA7" w:rsidRPr="008D3E7A" w:rsidRDefault="00031EA7" w:rsidP="00031EA7">
            <w:pPr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TAK/NIE</w:t>
            </w:r>
          </w:p>
          <w:p w14:paraId="48AC93AC" w14:textId="62B614D9" w:rsidR="00031EA7" w:rsidRPr="008D3E7A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20"/>
                <w:szCs w:val="20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niespełnienie kryterium oznacza 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A0E25" w14:textId="3606F213" w:rsidR="00031EA7" w:rsidRPr="008D3E7A" w:rsidRDefault="006A3E8A" w:rsidP="006A3E8A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</w:t>
            </w:r>
            <w:r w:rsidR="00031EA7" w:rsidRPr="008D3E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ryterium weryfikowane w oparciu o informacje zawarte we wniosku o powierzenie grantu.</w:t>
            </w:r>
          </w:p>
        </w:tc>
      </w:tr>
      <w:tr w:rsidR="00031EA7" w14:paraId="602D9DF7" w14:textId="77777777" w:rsidTr="006A3E8A">
        <w:trPr>
          <w:trHeight w:val="1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46A5" w14:textId="63C1BAAC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31" w14:textId="4B0525C6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>Liczba złożonych wniosków o powierzenie grantu w ramach naboru</w:t>
            </w:r>
            <w:r w:rsidRPr="008D3E7A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br/>
            </w:r>
          </w:p>
          <w:p w14:paraId="385107E9" w14:textId="77777777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311ED007" w14:textId="1F870BFA" w:rsidR="00031EA7" w:rsidRPr="008D3E7A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7D34" w14:textId="45E7EE44" w:rsidR="00031EA7" w:rsidRPr="008D3E7A" w:rsidRDefault="00031EA7" w:rsidP="00031EA7">
            <w:pPr>
              <w:pStyle w:val="Default"/>
              <w:spacing w:after="280"/>
              <w:rPr>
                <w:color w:val="0D0D0D" w:themeColor="text1" w:themeTint="F2"/>
                <w:sz w:val="18"/>
                <w:szCs w:val="18"/>
              </w:rPr>
            </w:pPr>
            <w:r w:rsidRPr="008D3E7A">
              <w:rPr>
                <w:color w:val="0D0D0D" w:themeColor="text1" w:themeTint="F2"/>
                <w:sz w:val="18"/>
                <w:szCs w:val="18"/>
              </w:rPr>
              <w:t xml:space="preserve">Ocenie podlega liczba złożonych </w:t>
            </w:r>
            <w:proofErr w:type="gramStart"/>
            <w:r w:rsidRPr="008D3E7A">
              <w:rPr>
                <w:color w:val="0D0D0D" w:themeColor="text1" w:themeTint="F2"/>
                <w:sz w:val="18"/>
                <w:szCs w:val="18"/>
              </w:rPr>
              <w:t>wniosków  w</w:t>
            </w:r>
            <w:proofErr w:type="gramEnd"/>
            <w:r w:rsidRPr="008D3E7A">
              <w:rPr>
                <w:color w:val="0D0D0D" w:themeColor="text1" w:themeTint="F2"/>
                <w:sz w:val="18"/>
                <w:szCs w:val="18"/>
              </w:rPr>
              <w:t xml:space="preserve"> ramach danego naboru. Każdorazowo maksymalna liczba możliwych do złożenia wniosków określona jest w Regulaminie naboru, jednak co do zasady, w ramach danego naboru wniosków LGD udzieli jednemu </w:t>
            </w:r>
            <w:proofErr w:type="spellStart"/>
            <w:r w:rsidRPr="008D3E7A">
              <w:rPr>
                <w:color w:val="0D0D0D" w:themeColor="text1" w:themeTint="F2"/>
                <w:sz w:val="18"/>
                <w:szCs w:val="18"/>
              </w:rPr>
              <w:t>grantobiorcy</w:t>
            </w:r>
            <w:proofErr w:type="spellEnd"/>
            <w:r w:rsidRPr="008D3E7A">
              <w:rPr>
                <w:color w:val="0D0D0D" w:themeColor="text1" w:themeTint="F2"/>
                <w:sz w:val="18"/>
                <w:szCs w:val="18"/>
              </w:rPr>
              <w:t xml:space="preserve"> dofinansowania na nie więcej niż 2 wnioski. W przypadku projektów realizowanych w partnerstwie, ograniczenie dotyczy wszystkich członków partnerstwa</w:t>
            </w:r>
            <w:r w:rsidR="006A3E8A" w:rsidRPr="008D3E7A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FB8" w14:textId="77777777" w:rsidR="006A3E8A" w:rsidRPr="008D3E7A" w:rsidRDefault="006A3E8A" w:rsidP="006A3E8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TAK/NIE</w:t>
            </w:r>
          </w:p>
          <w:p w14:paraId="0112F382" w14:textId="668091F7" w:rsidR="00031EA7" w:rsidRPr="008D3E7A" w:rsidRDefault="006A3E8A" w:rsidP="006A3E8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niespełnienie kryterium oznacza 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7DDE" w14:textId="0EAD30B5" w:rsidR="00031EA7" w:rsidRPr="008D3E7A" w:rsidRDefault="00031EA7" w:rsidP="006A3E8A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8D3E7A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Kryterium zostanie zweryfikowane na podstawie rejestru wpływu wniosków.</w:t>
            </w:r>
          </w:p>
        </w:tc>
      </w:tr>
      <w:tr w:rsidR="00031EA7" w14:paraId="14CE71EE" w14:textId="77777777" w:rsidTr="00306D65">
        <w:trPr>
          <w:trHeight w:val="15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C0FD" w14:textId="61E6C459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D1E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Wsparcie w ramach projektu będzie przebiegało zgodnie ze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„Standardem klubów młodzieżowych współfinansowanych z EFS+”</w:t>
            </w:r>
          </w:p>
          <w:p w14:paraId="3B08157B" w14:textId="77777777" w:rsidR="00031EA7" w:rsidRDefault="00031EA7" w:rsidP="00031EA7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jeżeli dotyczy)</w:t>
            </w:r>
          </w:p>
          <w:p w14:paraId="402CD3A5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2C0311E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Dotyczy Przedsięwzięcia 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0D02" w14:textId="77777777" w:rsidR="00031EA7" w:rsidRDefault="00031EA7" w:rsidP="00031EA7">
            <w:pPr>
              <w:pStyle w:val="Default"/>
              <w:spacing w:after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Ocenie podlega czy w projekcie realizowane będzie wsparcie w zakresie tworzenia i funkcjonowania edukacyjnych klubów młodzieżowych zgodnie ze standardem dotyczącym klubu młodzieżowego opracowanym przez Instytucję Zarządzającą.</w:t>
            </w:r>
          </w:p>
          <w:p w14:paraId="2BE50003" w14:textId="77777777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w oparciu o informacje zawarte we wniosku o powierzenie grantu.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375A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6CDE3D60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893B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77B1FF50" w14:textId="77777777" w:rsidTr="00306D65">
        <w:trPr>
          <w:trHeight w:val="1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749A" w14:textId="51134CB7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1A2D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Wsparcie w ramach projektu będzie przebiegało zgodnie ze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„Standardem klubów seniora współfinansowanych z EFS+”</w:t>
            </w:r>
          </w:p>
          <w:p w14:paraId="0F040F36" w14:textId="77777777" w:rsidR="00031EA7" w:rsidRDefault="00031EA7" w:rsidP="00031EA7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(jeżeli dotyczy)</w:t>
            </w:r>
          </w:p>
          <w:p w14:paraId="29C83C72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1C3B33D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Dotyczy Przedsięwzięcia 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EC1F" w14:textId="77777777" w:rsidR="00031EA7" w:rsidRDefault="00031EA7" w:rsidP="00031EA7">
            <w:pPr>
              <w:spacing w:after="28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Ocenie podlega czy w projekcie realizowane będzie wsparcie w zakresie tworzenia i funkcjonowania klubów seniora zgodnie ze standardem dotyczącym klubu seniora opracowanym przez Instytucję Zarządzającą.</w:t>
            </w:r>
          </w:p>
          <w:p w14:paraId="1CD24D9D" w14:textId="77777777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w oparciu o informacje zawarte we wniosku o powierzenie grantu.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3D2D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304FC994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119F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34A3B1D2" w14:textId="77777777" w:rsidTr="00306D65">
        <w:trPr>
          <w:trHeight w:val="5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9854" w14:textId="0DE87AE5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7028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t>Projekt jest zgodny z właściwymi przepisami prawa unijnego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9DBA" w14:textId="77777777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Ocenie podlega, czy projekt jest zgodny z właściwymi przepisami prawa unijnego, tj. czy:</w:t>
            </w:r>
          </w:p>
          <w:p w14:paraId="192AC855" w14:textId="77777777" w:rsidR="00031EA7" w:rsidRDefault="00031EA7" w:rsidP="00031EA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2" w:hanging="172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projekt nie został fizycznie ukończony lub w pełni wdrożony przed złożeniem wniosku o dofinansowanie projektu w rozumieniu art. 63 ust. 6 rozporządzenia nr 2021/1060</w:t>
            </w:r>
            <w:r>
              <w:rPr>
                <w:rStyle w:val="Zakotwiczenieprzypisudolnego"/>
                <w:rFonts w:ascii="Arial" w:hAnsi="Arial" w:cs="Arial"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541D9A" w14:textId="77777777" w:rsidR="00031EA7" w:rsidRDefault="00031EA7" w:rsidP="00031EA7">
            <w:pPr>
              <w:pStyle w:val="Akapitzlist"/>
              <w:numPr>
                <w:ilvl w:val="0"/>
                <w:numId w:val="2"/>
              </w:numPr>
              <w:spacing w:after="280" w:line="240" w:lineRule="auto"/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wnioskodawca nie rozpoczął realizacji projektu przed dniem złożenia wniosku o dofinansowanie projektu lub złożył oświadczenie, że realizując projekt przed dniem złożenia wniosku o dofinansowanie projektu, przestrzegał obowiązujących przepisów prawa dotyczących danego projektu, zgodnie z art. 73 ust. 2 lit. f) rozporządzenia nr 2021/1060.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63AD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68FCCFAB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BB92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04FE9981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A0B5" w14:textId="0C4C8EB0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E3F2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t>Projekt jest zgodny z zasadą równości szans i niedyskryminacji,</w:t>
            </w:r>
          </w:p>
          <w:p w14:paraId="28238A7D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lastRenderedPageBreak/>
              <w:t>w tym dostępności dla osób z niepełnosprawnościami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B380" w14:textId="6E0A596A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Ocenie podlega czy w projekcie nie występują niezgodności zapisów wniosku o powierzenie grantu z zasadą równości szans i niedyskryminacji, określoną w art. 9 Rozporządzenia 2021/1060 oraz czy we wniosku </w:t>
            </w:r>
            <w:r w:rsidR="007B463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 dofinansowanie projektu zadeklarowano dostępność wszystkich produktów projektu (które nie zostały uznane za neutralne) – zgodnie z załącznikiem nr 2 do Wytycznych dotyczących realizacji zasad równościowych w ramach funduszy unijnych na lata 2021-2027.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2A63" w14:textId="4F52727A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TAK/NIE</w:t>
            </w:r>
          </w:p>
          <w:p w14:paraId="4E51FF97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25B6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Kryterium weryfikowane na podstawie treści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wniosku o powierzenie grantu</w:t>
            </w:r>
          </w:p>
        </w:tc>
      </w:tr>
      <w:tr w:rsidR="00031EA7" w14:paraId="7608ADBC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89EF" w14:textId="66E0B8D9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65C6" w14:textId="77777777" w:rsidR="00031EA7" w:rsidRPr="00952F21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E0481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>Projekt jest zgodny ze standardem minimum realizacji zasady równości kobiet i mężczyzn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2F80" w14:textId="77777777" w:rsidR="00031EA7" w:rsidRPr="00952F21" w:rsidRDefault="00031EA7" w:rsidP="00031EA7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6D65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Ocenie podlega czy projekt jest zgodny ze standardem minimum realizacji zasady równości kobiet i mężczyzn (na podstawie 5 kryteriów oceny określonych w załączniku nr 1 do Wytycznych dotyczących realizacji zasad równościowych w ramach funduszy unijnych na lata 2021-2027).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21C9" w14:textId="494547B4" w:rsidR="00031EA7" w:rsidRPr="00E6643D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6643D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TAK/NIE</w:t>
            </w:r>
          </w:p>
          <w:p w14:paraId="688BDF27" w14:textId="77777777" w:rsidR="00031EA7" w:rsidRPr="00E6643D" w:rsidRDefault="00031EA7" w:rsidP="00031EA7">
            <w:pPr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E6643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niespełnienie kryterium oznacza 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D1C7" w14:textId="77777777" w:rsidR="00031EA7" w:rsidRPr="00E6643D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E6643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1AAAF93B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FB75" w14:textId="2E84967D" w:rsidR="00031EA7" w:rsidRPr="00306D65" w:rsidRDefault="008D3E7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A294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t>Projekt jest zgodny z Kartą Praw Podstawowych Unii Europejskiej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0E6" w14:textId="77777777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Ocenie podlega czy:</w:t>
            </w:r>
          </w:p>
          <w:p w14:paraId="6543C5D1" w14:textId="77777777" w:rsidR="00031EA7" w:rsidRDefault="00031EA7" w:rsidP="00031EA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jest zgodny z Kartą Praw Podstawowych Unii Europejskiej z dnia 26 października 2012 r. (Dz. Urz. UE C 326/391 z 26.10.2012) w zakresie odnoszącym się do sposobu realizacji, zakresu projektu i wnioskodawcy.</w:t>
            </w:r>
          </w:p>
          <w:p w14:paraId="7408E0F4" w14:textId="77777777" w:rsidR="00031EA7" w:rsidRDefault="00031EA7" w:rsidP="00031E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projektu z Kartą praw podstawowych Unii Europejskiej na etapie oceny należy rozumieć jako brak sprzeczności pomiędzy wnioskiem o powierzenie grantu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wdrażaniu europejskich funduszy strukturalnych i inwestycyjnych, w szczególności załącznik nr III.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DE6A" w14:textId="077B5170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1D234008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  <w:p w14:paraId="6C5C3D3C" w14:textId="77777777" w:rsidR="00031EA7" w:rsidRDefault="00031EA7" w:rsidP="00031EA7">
            <w:pPr>
              <w:spacing w:before="280" w:after="2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9A607D5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328B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1E33098D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1424" w14:textId="74D95A35" w:rsidR="00031EA7" w:rsidRPr="00306D65" w:rsidRDefault="006A3E8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D3E7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7C67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t>Projekt jest zgodny z Konwencją o Prawach Osób Niepełnosprawnych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2E4B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Ocenie podlega czy:</w:t>
            </w:r>
          </w:p>
          <w:p w14:paraId="466AD9E6" w14:textId="77777777" w:rsidR="00031EA7" w:rsidRDefault="00031EA7" w:rsidP="00031EA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jest zgodny z Konwencją o Prawach Osób Niepełnosprawnych sporządzoną w Nowym Jorku dnia 13 grudnia 2006 r. (Dz. U. z 2012 r. poz. 1169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zm.) w zakresie odnoszącym się do sposobu realizacji, zakresu projektu i wnioskodawcy.</w:t>
            </w:r>
          </w:p>
          <w:p w14:paraId="0C36208E" w14:textId="77777777" w:rsidR="00031EA7" w:rsidRDefault="00031EA7" w:rsidP="00031EA7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8C74" w14:textId="2E5DDE19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6B97FFB3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  <w:p w14:paraId="413973C2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AB86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2AA5330F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1FD8" w14:textId="717424A1" w:rsidR="00031EA7" w:rsidRPr="00306D65" w:rsidRDefault="006A3E8A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D3E7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6F19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  <w:t>Projekt jest zgodny z zasadą zrównoważonego rozwoju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CC75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Ocenie podlega czy:</w:t>
            </w:r>
          </w:p>
          <w:p w14:paraId="5E4644B9" w14:textId="77777777" w:rsidR="00031EA7" w:rsidRDefault="00031EA7" w:rsidP="00031EA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 jest zgodny z zasadą zrównoważonego rozwoju określoną w art. 9 ust. 4 Rozporządzenia 2021/1060.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4B18" w14:textId="3B5F9C7E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  <w:p w14:paraId="2098AD84" w14:textId="77777777" w:rsidR="00031EA7" w:rsidRDefault="00031EA7" w:rsidP="00031EA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niespełnienie kryterium oznacza </w:t>
            </w:r>
            <w:r>
              <w:rPr>
                <w:rFonts w:ascii="Arial" w:hAnsi="Arial" w:cs="Arial"/>
                <w:sz w:val="18"/>
                <w:szCs w:val="18"/>
              </w:rPr>
              <w:t>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539B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59EEC039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8072" w14:textId="24C44E8B" w:rsidR="00031EA7" w:rsidRPr="00306D65" w:rsidRDefault="00031EA7" w:rsidP="00031E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D3E7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5F85" w14:textId="77777777" w:rsidR="00031EA7" w:rsidRDefault="00031EA7" w:rsidP="00031EA7">
            <w:pPr>
              <w:tabs>
                <w:tab w:val="left" w:pos="1670"/>
              </w:tabs>
              <w:spacing w:after="0" w:line="240" w:lineRule="auto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Wnioskodawca nie podlega wykluczeniu z możliwości otrzymania dofinansowania ze środków Unii Europejskiej</w:t>
            </w:r>
          </w:p>
          <w:p w14:paraId="65BD3D71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color w:val="0D0D0D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06DF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Ocenie podlega, czy wnioskodawca nie podlega wykluczeniu z możliwości otrzymania dofinansowania ze środków Unii Europejskiej na podstawie:</w:t>
            </w:r>
          </w:p>
          <w:p w14:paraId="7E736549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art. 207 ustawy o finansach publicznych</w:t>
            </w:r>
          </w:p>
          <w:p w14:paraId="2C019E47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w art. 12 ust. 1 pkt 1 ustawy z dnia 15 czerwca 2012 r. o skutkach powierzania wykonywania pracy cudzoziemcom przebywającym wbrew przepisom na terytorium Rzeczypospolitej Polskiej (Dz. U. z 2021 r. poz. 1745)</w:t>
            </w:r>
          </w:p>
          <w:p w14:paraId="5521CDE7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 w art. 9 ust. 1 pkt 2a ustawy z dnia 28 października 2002 r. o odpowiedzialności podmiotów zbiorowych za czyny zabronione pod groźbą kary (Dz. U. z 2023 r. poz. 659)</w:t>
            </w:r>
          </w:p>
          <w:p w14:paraId="0CE4F508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listy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2023 r. poz. 1497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zm.), jak również nie figurują w wykazach, o których mowa w:</w:t>
            </w:r>
          </w:p>
          <w:p w14:paraId="4698ECC7" w14:textId="77777777" w:rsidR="00031EA7" w:rsidRDefault="00031EA7" w:rsidP="00031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4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Rozporządzeniu Rady (WE) nr 765/2006 z dnia 18 maja 2006 r. dotyczącym środków ograniczających w związku z sytuacją na Białorusi i udziałem Białorusi w agresji Rosji wobec Ukrainy (Dz. Urz. UE L 134 z 20.05.2006, str. 1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zm.);</w:t>
            </w:r>
          </w:p>
          <w:p w14:paraId="73C062F6" w14:textId="77777777" w:rsidR="00031EA7" w:rsidRDefault="00031EA7" w:rsidP="00031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4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Rozporządzeniu Rady (UE) nr 269/2014 z dnia 17 marca 2014 r. w sprawie środków ograniczających w odniesieniu do działań podważających integralność terytorialną, suwerenność i niezależność Ukrainy i im zagrażających (Dz. Urz. UE L 78 z 17.03.2014, str. 6,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zm.);</w:t>
            </w:r>
          </w:p>
          <w:p w14:paraId="36A15AF3" w14:textId="77777777" w:rsidR="00031EA7" w:rsidRDefault="00031EA7" w:rsidP="00031EA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4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Rozporządzeniu (UE) nr 833/2014 z dnia 31 lipca 2014 r. dotyczącym środków ograniczających w związku z działaniami Rosji destabilizującymi sytuację na Ukrainie (Dz. Urz. UE L 229 z 31.07.2014, str. 1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zm.);</w:t>
            </w:r>
          </w:p>
          <w:p w14:paraId="672ADF30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art. 61 ust.4 ustawy wdrożeniowej, weryfikującego czy w stosunku do wnioskodawcy będącego osobą fizyczną lub członka organów zarządzających wnioskodawcy niebędącego osobą fizyczną, nie toczy się postępowanie karne lub karne skarbowe.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1624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TAK/NIE</w:t>
            </w:r>
          </w:p>
          <w:p w14:paraId="747B5DE2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niespełnienie kryterium oznacza odrzucenie wniosku o dofinansowanie wniosku o powierzenie grantów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9C37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2746B0E4" w14:textId="77777777" w:rsidTr="00306D65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5309" w14:textId="6E130BC6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D3E7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62CC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Klauzula antydyskryminacyjna</w:t>
            </w:r>
          </w:p>
          <w:p w14:paraId="3A6126D8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(dot. JST)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453" w14:textId="77777777" w:rsidR="00031EA7" w:rsidRDefault="00031EA7" w:rsidP="00031EA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przypadku, gdy wnioskodawcą jest jednostka samorządu terytorialnego (lub podmiot przez nią kontrolowany lub od niej zależny) ocenie </w:t>
            </w:r>
            <w:proofErr w:type="gramStart"/>
            <w:r>
              <w:rPr>
                <w:sz w:val="18"/>
                <w:szCs w:val="18"/>
              </w:rPr>
              <w:t>podlega,</w:t>
            </w:r>
            <w:proofErr w:type="gramEnd"/>
            <w:r>
              <w:rPr>
                <w:sz w:val="18"/>
                <w:szCs w:val="18"/>
              </w:rPr>
              <w:t xml:space="preserve"> czy przestrzega ona przepisów antydyskryminacyjnych, o których mowa w art. 9 ust. 3 rozporządzenia nr 2021/1060.</w:t>
            </w:r>
          </w:p>
          <w:p w14:paraId="1778F569" w14:textId="77777777" w:rsidR="00031EA7" w:rsidRDefault="00031EA7" w:rsidP="00031EA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klauzuli antydyskryminacyjnej, zawartej w Umowie Partnerstwa oraz programie Fundusze Europejskie dla Kujaw i Pomorza 2021-2027 wynika, że w razie podjęcia przez JST dyskryminujących aktów prawa miejscowego, wsparcie, dla tej jednostki oraz podmiotów przez nią kontrolowanych lub od niej zależnych, nie będzie udzielone.</w:t>
            </w:r>
          </w:p>
          <w:p w14:paraId="166B8E25" w14:textId="77777777" w:rsidR="00031EA7" w:rsidRDefault="00031EA7" w:rsidP="00031EA7">
            <w:pPr>
              <w:pStyle w:val="Default"/>
              <w:spacing w:before="2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przypadku, gdy JST przyjęła dyskryminujące akty prawa miejscowego, sprzeczne z zasadami, o których mowa w art. 9 ust. 3 rozporządzenia nr 2021/1060, a następnie podjęła skuteczne działania naprawcze kryterium uznaje się za spełnione. Podjęte działania naprawcze powinny być opisane we wniosku o powierzenie grantu.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E27B" w14:textId="41B97A15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TAK/NIE</w:t>
            </w:r>
          </w:p>
          <w:p w14:paraId="1C5555A3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niespełnienie kryterium oznacza odrzucenie wniosku o powierzenie grantu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1699" w14:textId="77777777" w:rsidR="00031EA7" w:rsidRDefault="00031EA7" w:rsidP="00031E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weryfikowane na podstawie treści wniosku o powierzenie grantu</w:t>
            </w:r>
          </w:p>
        </w:tc>
      </w:tr>
      <w:tr w:rsidR="00031EA7" w14:paraId="2FA8E3C4" w14:textId="77777777">
        <w:trPr>
          <w:trHeight w:val="246"/>
        </w:trPr>
        <w:tc>
          <w:tcPr>
            <w:tcW w:w="1510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FCF557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5E36CC5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0D06DA0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70A6578" w14:textId="77777777" w:rsidR="00031EA7" w:rsidRDefault="00031EA7" w:rsidP="00031E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- KRYTERIA PUNKTOWANE -</w:t>
            </w:r>
          </w:p>
          <w:p w14:paraId="14E39E56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tbl>
            <w:tblPr>
              <w:tblW w:w="1524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559"/>
              <w:gridCol w:w="4824"/>
              <w:gridCol w:w="5432"/>
              <w:gridCol w:w="1866"/>
            </w:tblGrid>
            <w:tr w:rsidR="00031EA7" w14:paraId="1D3A8474" w14:textId="77777777" w:rsidTr="001D1D9D">
              <w:tc>
                <w:tcPr>
                  <w:tcW w:w="1524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B3E18BD" w14:textId="77777777" w:rsidR="00031EA7" w:rsidRDefault="00031EA7" w:rsidP="00031E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44"/>
                      <w:szCs w:val="4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44"/>
                      <w:szCs w:val="44"/>
                      <w:lang w:eastAsia="pl-PL"/>
                    </w:rPr>
                    <w:t xml:space="preserve">KRYTERIA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44"/>
                      <w:szCs w:val="44"/>
                      <w:lang w:eastAsia="pl-PL"/>
                    </w:rPr>
                    <w:br/>
                    <w:t>dla Przedsięwzięcia 1.1. Aktywni seniorzy</w:t>
                  </w:r>
                </w:p>
                <w:p w14:paraId="18480027" w14:textId="77777777" w:rsidR="00031EA7" w:rsidRDefault="00031EA7" w:rsidP="00031E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l-PL"/>
                    </w:rPr>
                    <w:t>w ramach przedsięwzięcia utworzone zostaną kluby seniora.</w:t>
                  </w:r>
                </w:p>
              </w:tc>
            </w:tr>
            <w:tr w:rsidR="00031EA7" w14:paraId="78F1AC87" w14:textId="77777777" w:rsidTr="008D3E7A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8F81707" w14:textId="77777777" w:rsidR="00031EA7" w:rsidRDefault="00031EA7" w:rsidP="00031E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0984CED" w14:textId="77777777" w:rsidR="00031EA7" w:rsidRDefault="00031EA7" w:rsidP="00031E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Kryterium</w:t>
                  </w: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DCBCA5C" w14:textId="77777777" w:rsidR="00031EA7" w:rsidRDefault="00031EA7" w:rsidP="00031E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Uzasadnienie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E1EEFFB" w14:textId="77777777" w:rsidR="00031EA7" w:rsidRDefault="00031EA7" w:rsidP="00031E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Punktacja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</w:tcPr>
                <w:p w14:paraId="13E951BE" w14:textId="77777777" w:rsidR="00031EA7" w:rsidRDefault="00031EA7" w:rsidP="00031E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eastAsia="pl-PL"/>
                    </w:rPr>
                    <w:t>Źródło weryfikacji kryterium</w:t>
                  </w:r>
                </w:p>
              </w:tc>
            </w:tr>
            <w:tr w:rsidR="00031EA7" w14:paraId="0053CE5F" w14:textId="77777777" w:rsidTr="008D3E7A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A74B452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A36A29B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OBSZARY PROBLEMOWE WYMAGAJĄCE SZCZEGÓLNEGO WSPARCIA</w:t>
                  </w:r>
                </w:p>
                <w:p w14:paraId="3D08CE9A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5EACFED" w14:textId="77777777" w:rsidR="00031EA7" w:rsidRDefault="00031EA7" w:rsidP="00031EA7">
                  <w:pPr>
                    <w:spacing w:after="0" w:line="240" w:lineRule="auto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Premiowane będą te działania, które realizowane będą na rzecz mieszkańców z obszarów tzw. gmin problemowych, o których mowa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 Rozdziale: IV „Analiza potrzeb i potencjału LSR”.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0D0D0D"/>
                      <w:sz w:val="18"/>
                      <w:szCs w:val="18"/>
                      <w:lang w:eastAsia="pl-PL"/>
                    </w:rPr>
                    <w:t>Obszary problemowe wymagające szczególnego wsparcia</w:t>
                  </w:r>
                </w:p>
                <w:p w14:paraId="6C3772BD" w14:textId="77777777" w:rsidR="00031EA7" w:rsidRDefault="00031EA7" w:rsidP="00031EA7">
                  <w:pPr>
                    <w:spacing w:after="120" w:line="276" w:lineRule="auto"/>
                    <w:ind w:right="5"/>
                    <w:jc w:val="both"/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  <w:t>Na obszarze objętym LSR identyfikuje się aż 8 gmin uznanych za problemowe – są to gminy zagrożone trwałą marginalizacją oraz gminy na obszarze których występują problemy społeczno-gospodarcze: niski poziom przedsiębiorczości, niski poziom rozwoju społecznego.</w:t>
                  </w:r>
                </w:p>
                <w:p w14:paraId="2639ACFB" w14:textId="77777777" w:rsidR="00031EA7" w:rsidRDefault="00031EA7" w:rsidP="00031EA7">
                  <w:pPr>
                    <w:spacing w:after="120" w:line="276" w:lineRule="auto"/>
                    <w:ind w:right="5"/>
                    <w:jc w:val="both"/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  <w:t>Obszary te wymagają szczególnego wsparcia co zostanie uwzględnione przy ocenie projektu/operacji z lokalnymi kryteriami, gdzie preferowane będą operacje realizowane na terenie tych obszarów i na rzecz społeczności z tych obszarów.</w:t>
                  </w:r>
                </w:p>
                <w:p w14:paraId="0DADD774" w14:textId="77777777" w:rsidR="00031EA7" w:rsidRDefault="00031EA7" w:rsidP="00031EA7">
                  <w:pPr>
                    <w:spacing w:after="0" w:line="240" w:lineRule="auto"/>
                    <w:ind w:right="5"/>
                    <w:jc w:val="both"/>
                    <w:rPr>
                      <w:rFonts w:ascii="Arial" w:hAnsi="Arial" w:cs="Arial"/>
                      <w:b/>
                      <w:color w:val="0D0D0D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sz w:val="18"/>
                      <w:szCs w:val="18"/>
                      <w:lang w:eastAsia="pl-PL"/>
                    </w:rPr>
                    <w:t>Gminy uznane jako problemowe:</w:t>
                  </w:r>
                </w:p>
                <w:p w14:paraId="612F2E71" w14:textId="77777777" w:rsidR="00031EA7" w:rsidRDefault="00031EA7" w:rsidP="00031EA7">
                  <w:pPr>
                    <w:spacing w:after="0" w:line="240" w:lineRule="auto"/>
                    <w:ind w:right="5"/>
                    <w:jc w:val="both"/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  <w:t>Gruta, Lisewo, Łasin, Płużnica</w:t>
                  </w:r>
                </w:p>
                <w:p w14:paraId="6A1592D2" w14:textId="77777777" w:rsidR="00031EA7" w:rsidRDefault="00031EA7" w:rsidP="00031EA7">
                  <w:pPr>
                    <w:spacing w:after="0" w:line="240" w:lineRule="auto"/>
                    <w:ind w:right="5"/>
                    <w:jc w:val="both"/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hAnsi="Arial" w:cs="Arial"/>
                      <w:bCs/>
                      <w:color w:val="0D0D0D"/>
                      <w:sz w:val="18"/>
                      <w:szCs w:val="18"/>
                      <w:lang w:eastAsia="pl-PL"/>
                    </w:rPr>
                    <w:t>Radzyń Chełmiński, Rogóźno, Stolno, Świecie nad Osą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58AE6019" w14:textId="77777777" w:rsidR="00031EA7" w:rsidRDefault="00031EA7" w:rsidP="00031EA7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 pkt.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za realizacje działań na rzecz osób z gminy uznanej „za problemową”</w:t>
                  </w:r>
                </w:p>
                <w:p w14:paraId="34A988CF" w14:textId="77777777" w:rsidR="00031EA7" w:rsidRDefault="00031EA7" w:rsidP="00031EA7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 pkt.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za realizacje działań na rzecz osób z gminy, która nie została uznana „za problemową”</w:t>
                  </w:r>
                </w:p>
                <w:p w14:paraId="66F22BFD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8313427" w14:textId="0EA38F17" w:rsidR="00031EA7" w:rsidRPr="004C0621" w:rsidRDefault="00031EA7" w:rsidP="00031EA7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12121"/>
                      <w:sz w:val="18"/>
                      <w:szCs w:val="18"/>
                    </w:rPr>
                  </w:pPr>
                  <w:r w:rsidRPr="004C0621">
                    <w:rPr>
                      <w:rFonts w:ascii="Arial" w:hAnsi="Arial" w:cs="Arial"/>
                      <w:b/>
                      <w:bCs/>
                      <w:color w:val="212121"/>
                      <w:sz w:val="18"/>
                      <w:szCs w:val="18"/>
                    </w:rPr>
                    <w:t xml:space="preserve">Uwaga: punkty przyznaje </w:t>
                  </w:r>
                  <w:proofErr w:type="gramStart"/>
                  <w:r w:rsidRPr="004C0621">
                    <w:rPr>
                      <w:rFonts w:ascii="Arial" w:hAnsi="Arial" w:cs="Arial"/>
                      <w:b/>
                      <w:bCs/>
                      <w:color w:val="212121"/>
                      <w:sz w:val="18"/>
                      <w:szCs w:val="18"/>
                    </w:rPr>
                    <w:t>się</w:t>
                  </w:r>
                  <w:proofErr w:type="gramEnd"/>
                  <w:r w:rsidRPr="004C0621">
                    <w:rPr>
                      <w:rFonts w:ascii="Arial" w:hAnsi="Arial" w:cs="Arial"/>
                      <w:b/>
                      <w:bCs/>
                      <w:color w:val="212121"/>
                      <w:sz w:val="18"/>
                      <w:szCs w:val="18"/>
                    </w:rPr>
                    <w:t xml:space="preserve"> gdy cała grupa uczestników projektu to mieszkańcy jednej z gmin uznanych jako problemowe. W przypadku, gdy w ramach projektu planuje się objąć wsparciem mieszkańców z różnych gmin w tym z gmin nie uznanych jako problemowe, </w:t>
                  </w:r>
                  <w:r w:rsidRPr="004C0621">
                    <w:rPr>
                      <w:rFonts w:ascii="Arial" w:hAnsi="Arial" w:cs="Arial"/>
                      <w:b/>
                      <w:bCs/>
                      <w:color w:val="212121"/>
                      <w:sz w:val="18"/>
                      <w:szCs w:val="18"/>
                    </w:rPr>
                    <w:br/>
                    <w:t>to w takim przypadku punktów nie przyznaje się.  Punktów nie sumuje się w przypadku projektu polegającego na objęcie wsparciem mieszkańców z dwóch lub więcej gmin uznanych jako problemowe.</w:t>
                  </w:r>
                </w:p>
                <w:p w14:paraId="7F095598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4259FA8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22E11C5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C6C751B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7D54BAC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3 pkt. lub 0 pkt.</w:t>
                  </w:r>
                </w:p>
                <w:p w14:paraId="2CC4EE89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3 pkt.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FCA93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Wniosek</w:t>
                  </w:r>
                </w:p>
                <w:p w14:paraId="050B23DA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LSR</w:t>
                  </w:r>
                </w:p>
                <w:p w14:paraId="176B0963" w14:textId="77777777" w:rsidR="00031EA7" w:rsidRDefault="00031EA7" w:rsidP="00031EA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D3E7A" w14:paraId="38442662" w14:textId="77777777" w:rsidTr="00147292">
              <w:trPr>
                <w:trHeight w:val="55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0B6D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3A6B5" w14:textId="3EC80173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sz w:val="18"/>
                      <w:szCs w:val="18"/>
                    </w:rPr>
                    <w:t>WSPÓŁPRACA MIĘDZYSEKTOROWA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EBE99" w14:textId="77777777" w:rsidR="008D3E7A" w:rsidRPr="008D3E7A" w:rsidRDefault="008D3E7A" w:rsidP="008D3E7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Kryterium premiuje projekty objęte grantem, które zakładają </w:t>
                  </w:r>
                  <w:proofErr w:type="gramStart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>współpracę  międzysektorową</w:t>
                  </w:r>
                  <w:proofErr w:type="gramEnd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 z podmiotami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z obszaru LGD reprezentującymi inny niż </w:t>
                  </w:r>
                  <w:proofErr w:type="spellStart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>Grantobiorca</w:t>
                  </w:r>
                  <w:proofErr w:type="spellEnd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 sektor (społeczny, gospodarczy lub publiczny). Wzmocni to zasadę partnerstwa w podejściu RLKS. Przyczyni się do osiągnięcia zakładanych wskaźników produktu i rezultatu. </w:t>
                  </w:r>
                </w:p>
                <w:p w14:paraId="3F42B213" w14:textId="77777777" w:rsidR="008D3E7A" w:rsidRPr="008D3E7A" w:rsidRDefault="008D3E7A" w:rsidP="008D3E7A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0315542" w14:textId="7CB6491B" w:rsidR="008D3E7A" w:rsidRPr="00B559A1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>Pochodzenie partnerów weryfikowane będzie na podstawie adresu ich siedziby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4B2" w14:textId="77777777" w:rsidR="008D3E7A" w:rsidRDefault="008D3E7A" w:rsidP="008D3E7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3 pkt.</w:t>
                  </w: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 – projekt zakłada współpracę międzysektorow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ą</w:t>
                  </w:r>
                </w:p>
                <w:p w14:paraId="36B16643" w14:textId="77777777" w:rsidR="008D3E7A" w:rsidRPr="008D3E7A" w:rsidRDefault="008D3E7A" w:rsidP="008D3E7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 pkt.</w:t>
                  </w: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 – </w:t>
                  </w:r>
                  <w:proofErr w:type="gramStart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>projekt  nie</w:t>
                  </w:r>
                  <w:proofErr w:type="gramEnd"/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 zakłada współpracy międzysektorowej</w:t>
                  </w:r>
                </w:p>
                <w:p w14:paraId="4EACED15" w14:textId="77777777" w:rsidR="008D3E7A" w:rsidRPr="008D3E7A" w:rsidRDefault="008D3E7A" w:rsidP="008D3E7A">
                  <w:pPr>
                    <w:spacing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3 pkt. lub 0 pkt.</w:t>
                  </w:r>
                </w:p>
                <w:p w14:paraId="77E8EE89" w14:textId="5B10292D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3 pkt.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C85135A" w14:textId="606698B5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t xml:space="preserve">Kryterium weryfikowane na podstawie porozumienia o współpracy dołączonego do wniosku o powierzenie grantu </w:t>
                  </w:r>
                  <w:r w:rsidRPr="008D3E7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określającego partnerów oraz planowane zasady i zakres współpracy (na podstawie wzoru udostępnionego przez LGD w ogłoszeniu</w:t>
                  </w:r>
                  <w:r w:rsidRPr="00B54BC7">
                    <w:rPr>
                      <w:rFonts w:cstheme="minorHAnsi"/>
                      <w:sz w:val="18"/>
                      <w:szCs w:val="18"/>
                    </w:rPr>
                    <w:t xml:space="preserve"> o naborze grantów).</w:t>
                  </w:r>
                </w:p>
              </w:tc>
            </w:tr>
            <w:tr w:rsidR="008D3E7A" w14:paraId="00C4E9A4" w14:textId="77777777" w:rsidTr="001D1D9D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7CD88" w14:textId="5E1958A2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4A20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WNIOSKODAWCĄ JEST NGO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925FC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Preferowane będą projekty realizowane przez organizacje pozarządowe posiadające osobowość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prawną  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organizacje społeczne) z obszaru LSR mających zarejestrowaną </w:t>
                  </w:r>
                  <w:r w:rsidRPr="00B559A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siedzibę (główną)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na obszarze LSR.</w:t>
                  </w:r>
                </w:p>
                <w:p w14:paraId="63A311E8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Preferuje się te podmioty, które działają na obszarze LGD dłużej.</w:t>
                  </w:r>
                </w:p>
                <w:p w14:paraId="01F2D790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5C446077" w14:textId="77777777" w:rsidR="008D3E7A" w:rsidRDefault="008D3E7A" w:rsidP="008D3E7A">
                  <w:pPr>
                    <w:spacing w:after="0" w:line="240" w:lineRule="auto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NGO to: organizacja pozarządowa wpisana do rejestru KRS, ARiMR; stowarzyszenie, fundacja, koło gospodyń wiejskich, ochotnicza straż pożarna.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59511" w14:textId="746CED6C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3 pkt – wnioskodawcą jest NGO posiadające osobowość prawną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i posiadające zarejestrowaną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siedzibę  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główną) co najmniej 3 lata (1095 dni), licząc wstecz od pierwszego dnia ogłoszenia konkursu.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 pkt – wnioskodawcą jest NGO posiadające osobowość prawną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i posiadające zarejestrowaną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siedzibę  (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główną) co najmniej 1 rok (365 dni), licząc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wstecz  od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pierwszego dnia ogłoszenia konkursu.</w:t>
                  </w:r>
                </w:p>
                <w:p w14:paraId="1263BB8F" w14:textId="11DD39D5" w:rsidR="008D3E7A" w:rsidRPr="004C0621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 pkt – wnioskodawcą jest NGO posiadające osobowość prawną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i posiadające zarejestrowaną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siedzibę  główną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krócej niż 1 rok (365 dni), Licząc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wstecz  od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pierwszego dnia ogłoszenia konkursu.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  <w:p w14:paraId="171F239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3 pkt. lub 1 pkt. lub 0 pkt.</w:t>
                  </w:r>
                </w:p>
                <w:p w14:paraId="20A5D62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3 pkt.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5CF78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KRS on-line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ARiMR inny dokument potwierdzający siedzibę wnioskodawcy</w:t>
                  </w:r>
                </w:p>
              </w:tc>
            </w:tr>
            <w:tr w:rsidR="008D3E7A" w14:paraId="1F910D36" w14:textId="77777777" w:rsidTr="001D1D9D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2D7B2" w14:textId="67AF55AF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C97D2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DORADZTWO</w:t>
                  </w: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38241" w14:textId="50F7FF8C" w:rsidR="008D3E7A" w:rsidRDefault="008D3E7A" w:rsidP="008D3E7A">
                  <w:pPr>
                    <w:snapToGrid w:val="0"/>
                    <w:spacing w:after="0" w:line="240" w:lineRule="auto"/>
                    <w:jc w:val="both"/>
                  </w:pPr>
                  <w:proofErr w:type="gramStart"/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>Ocenie  podlega</w:t>
                  </w:r>
                  <w:proofErr w:type="gramEnd"/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 xml:space="preserve"> skorzystanie z formy doradztwa jakie zaproponowała LGD</w:t>
                  </w:r>
                  <w:r w:rsidRPr="00952F21">
                    <w:rPr>
                      <w:rFonts w:ascii="Arial" w:eastAsia="Andale Sans UI" w:hAnsi="Arial" w:cs="Arial"/>
                      <w:color w:val="FF0000"/>
                      <w:sz w:val="18"/>
                      <w:szCs w:val="18"/>
                      <w:lang w:eastAsia="ja-JP" w:bidi="fa-IR"/>
                    </w:rPr>
                    <w:t xml:space="preserve"> </w:t>
                  </w:r>
                  <w:r w:rsidRPr="00061107">
                    <w:rPr>
                      <w:rFonts w:ascii="Arial" w:eastAsia="Andale Sans UI" w:hAnsi="Arial" w:cs="Arial"/>
                      <w:sz w:val="18"/>
                      <w:szCs w:val="18"/>
                      <w:lang w:eastAsia="ja-JP" w:bidi="fa-IR"/>
                    </w:rPr>
                    <w:t xml:space="preserve">– szkolenie zorganizowane specjalnie na potrzeby danego naboru. </w:t>
                  </w:r>
                  <w:r w:rsidRPr="00061107">
                    <w:rPr>
                      <w:rFonts w:ascii="Arial" w:eastAsia="Andale Sans UI" w:hAnsi="Arial" w:cs="Arial"/>
                      <w:sz w:val="18"/>
                      <w:szCs w:val="18"/>
                      <w:lang w:eastAsia="ja-JP" w:bidi="fa-IR"/>
                    </w:rPr>
                    <w:br/>
                    <w:t xml:space="preserve"> O szkoleniu LGD </w:t>
                  </w:r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 xml:space="preserve">informowała będzie: </w:t>
                  </w:r>
                  <w:proofErr w:type="gramStart"/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>zawsze  za</w:t>
                  </w:r>
                  <w:proofErr w:type="gramEnd"/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 xml:space="preserve"> pośrednictwem strony internetowej </w:t>
                  </w:r>
                  <w:hyperlink r:id="rId8">
                    <w:r>
                      <w:rPr>
                        <w:rStyle w:val="czeinternetowe"/>
                        <w:rFonts w:ascii="Arial" w:eastAsia="Andale Sans UI" w:hAnsi="Arial" w:cs="Arial"/>
                        <w:color w:val="000000"/>
                        <w:sz w:val="18"/>
                        <w:szCs w:val="18"/>
                        <w:lang w:eastAsia="ja-JP" w:bidi="fa-IR"/>
                      </w:rPr>
                      <w:t>www.lgdvistula.org</w:t>
                    </w:r>
                  </w:hyperlink>
                  <w:r>
                    <w:rPr>
                      <w:rFonts w:ascii="Arial" w:eastAsia="Andale Sans UI" w:hAnsi="Arial" w:cs="Arial"/>
                      <w:color w:val="000000"/>
                      <w:sz w:val="18"/>
                      <w:szCs w:val="18"/>
                      <w:lang w:eastAsia="ja-JP" w:bidi="fa-IR"/>
                    </w:rPr>
                    <w:t>, ponadto na za pośrednictwem rozpowszechnianych plakatów, ulotek, przekazu słownego.</w:t>
                  </w:r>
                </w:p>
                <w:p w14:paraId="6638FB2F" w14:textId="77777777" w:rsid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strike/>
                      <w:color w:val="000000"/>
                    </w:rPr>
                  </w:pPr>
                </w:p>
                <w:p w14:paraId="4B06F33F" w14:textId="77777777" w:rsidR="008D3E7A" w:rsidRPr="00952F21" w:rsidRDefault="008D3E7A" w:rsidP="008D3E7A">
                  <w:pPr>
                    <w:widowControl w:val="0"/>
                    <w:suppressAutoHyphens w:val="0"/>
                    <w:spacing w:after="0" w:line="240" w:lineRule="auto"/>
                    <w:rPr>
                      <w:rFonts w:ascii="Arial" w:eastAsia="Courier New" w:hAnsi="Arial" w:cs="Arial"/>
                      <w:sz w:val="18"/>
                      <w:szCs w:val="18"/>
                      <w:lang w:eastAsia="pl-PL"/>
                    </w:rPr>
                  </w:pPr>
                  <w:r w:rsidRPr="00952F21">
                    <w:rPr>
                      <w:rFonts w:ascii="Arial" w:eastAsia="Courier New" w:hAnsi="Arial" w:cs="Arial"/>
                      <w:sz w:val="18"/>
                      <w:szCs w:val="18"/>
                      <w:lang w:eastAsia="pl-PL"/>
                    </w:rPr>
                    <w:t>LGD organizuje min. jedno bezpłatne szkolenie dla ogłoszonego naboru oraz udziela doradztwa w zakresie zasad przyznawania grantu i/lub wypełniania wniosku o powierzenie grantu. Dopuszcza się możliwość organizacji szkoleń, które swoją tematyką (zakresem) będą obejmować więcej niż jeden nabór.</w:t>
                  </w:r>
                </w:p>
                <w:p w14:paraId="4E616A36" w14:textId="77777777" w:rsid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strike/>
                      <w:color w:val="000000"/>
                    </w:rPr>
                  </w:pPr>
                </w:p>
                <w:p w14:paraId="1A35560E" w14:textId="77777777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strike/>
                      <w:color w:val="0D0D0D" w:themeColor="text1" w:themeTint="F2"/>
                    </w:rPr>
                  </w:pPr>
                </w:p>
                <w:p w14:paraId="55E6BC80" w14:textId="7D728872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Dokumentem potwierdzającym fakt skorzystania 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  <w:t>z doradztwa jest złożony podpis na liście obecności rozpowszechnionej podczas szkolenia.</w:t>
                  </w:r>
                </w:p>
                <w:p w14:paraId="64576617" w14:textId="77777777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  <w:p w14:paraId="07F45BC6" w14:textId="58BA4E7C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proofErr w:type="gramStart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>UWAGA:  przyznanie</w:t>
                  </w:r>
                  <w:proofErr w:type="gramEnd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punktów w tym kryterium dotyczy udziału w szkoleniu, organizowanym na potrzeby danego naboru. Udział w szkoleniach dot. poprzednich naborów nie będzie kwalifikowalny.</w:t>
                  </w:r>
                </w:p>
                <w:p w14:paraId="44715F1F" w14:textId="77777777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  <w:p w14:paraId="09C7D340" w14:textId="75BEF171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W </w:t>
                  </w:r>
                  <w:proofErr w:type="gramStart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przypadku</w:t>
                  </w:r>
                  <w:proofErr w:type="gramEnd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kiedy w imieniu Wnioskodawcy udział w szkoleniu będzie brała inna osoba aniżeli reprezentant Wnioskodawcy, np. pracownik/osoba czy firma konsultingowa, która będzie odpowiedzialna za przygotowanie wniosku o przyznanie pomocy </w:t>
                  </w:r>
                  <w:proofErr w:type="spellStart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nalęży</w:t>
                  </w:r>
                  <w:proofErr w:type="spellEnd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przedłożyć stosowne Pełnomocnictwo/Upoważnienie.</w:t>
                  </w:r>
                </w:p>
                <w:p w14:paraId="13D1325A" w14:textId="096651F5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Pełnomocnictwo/Upoważnienie obowiązkowo musi zawierać datę jego wydania.</w:t>
                  </w:r>
                </w:p>
                <w:p w14:paraId="1D8596AD" w14:textId="77777777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F438CDE" w14:textId="7BD02C17" w:rsidR="008D3E7A" w:rsidRP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Jedna osoba reprezentuje jeden podmiot. </w:t>
                  </w:r>
                  <w:r w:rsidR="00764FC9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="00764FC9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W przypadku reprezentacji większej liczby</w:t>
                  </w:r>
                  <w:r w:rsidR="00764FC9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Wnioskodawców przez jedną osobę, punkty uzyskuje tylko jeden Wnioskodawca - </w:t>
                  </w:r>
                  <w:proofErr w:type="gramStart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ten ,</w:t>
                  </w:r>
                  <w:proofErr w:type="gramEnd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który jako pierwszy udzielił pełnomocnictwa/Upoważnienie do reprezentowania go podczas szkolenia (wg daty z Pełnomocnictwa/Upoważnienia). W przypadku tożsamej daty punktów nie otrzyma żaden Wnioskodawca. </w:t>
                  </w:r>
                </w:p>
                <w:p w14:paraId="58E2A2D5" w14:textId="77777777" w:rsid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098DBA45" w14:textId="77777777" w:rsidR="008D3E7A" w:rsidRDefault="008D3E7A" w:rsidP="008D3E7A">
                  <w:pPr>
                    <w:snapToGri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 doradztwa prowadzonego w formie niestacjonarnej (np. e-szkolenie) potwierdzeniem udziału jest zgłoszenie swojego udziału zgodnie z założeniami rekrutacyjnymi każdorazowo wskazanymi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w zasadach/regulaminie rekrutacji i udział w doradztwie (dok. te dostępne będą wraz z informacją o organizacji tego rodzaju formy doradztwa).</w:t>
                  </w:r>
                </w:p>
                <w:p w14:paraId="534DA21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Udział zweryfikowany będzie przez pracownika biura lub osobę prowadzącą – pracownik/osoba prowadząca stworzy notatkę z takiego doradztwa, gdzie wprowadzi dane osób uczestniczących w doradztwie prowadzonym w formie niestacjonarnej.</w:t>
                  </w:r>
                </w:p>
                <w:p w14:paraId="1D2FAA55" w14:textId="75CED356" w:rsidR="008D3E7A" w:rsidRPr="00CE6BFF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BD0C33">
                    <w:rPr>
                      <w:rFonts w:ascii="Arial" w:hAnsi="Arial" w:cs="Arial"/>
                      <w:sz w:val="18"/>
                      <w:szCs w:val="18"/>
                    </w:rPr>
                    <w:t>Wskazujemy, że takie szkolenie będzie nagrywane oraz archiwizowane.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63A5F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5 pkt. - Wnioskodawca przed złożeniem wniosku wziął udział w doradztwie w formie spotkania/szkolenia innej formie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stacjonarnej  przeprowadzonym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przez LGD "Vistula - Terra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Culmensis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Rozwój przez Tradycję"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 ramach naboru, w którym wnioskodawca zamierza złożyć wniosek.</w:t>
                  </w:r>
                </w:p>
                <w:p w14:paraId="2C1A30E5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 pkt.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-  Wnioskodawca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przed złożeniem wniosku nie wziął udziału w doradztwie w formie spotkania/szkolenia innej formie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stacjonarnej  przeprowadzonym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przez LGD "Vistula - Terra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Culmensis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Rozwój przez Tradycję"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 ramach naboru, w którym wnioskodawca zamierza złożyć wniosek.</w:t>
                  </w:r>
                </w:p>
                <w:p w14:paraId="03D287A1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EA9D513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4600C7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3CB5E3D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BEB33A8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929AAA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E84441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33549D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E5EF0B6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B4538A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99B5AE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7FB098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4A9C0D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F57931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DB24F1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C91039E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2448B3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A9D3CAF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D2DC38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FB3674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08E59E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01C9CF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4BF38E8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6F6C91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48D42A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A4315ED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AACF85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066107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55177F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720050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2801F52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CA0A3E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2A0EEDD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41B5AC3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C48B37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D757B06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9359ECC" w14:textId="77777777" w:rsidR="00730F20" w:rsidRPr="00785F0C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EFD6FEB" w14:textId="0406600D" w:rsidR="008D3E7A" w:rsidRPr="00785F0C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85F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5 pkt. lub 0 pkt.</w:t>
                  </w:r>
                </w:p>
                <w:p w14:paraId="4BBB62F0" w14:textId="26507CA4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85F0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5 p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F5F7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Lista obecności</w:t>
                  </w:r>
                </w:p>
                <w:p w14:paraId="248F1122" w14:textId="6BB798EC" w:rsidR="008D3E7A" w:rsidRPr="00A01B34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trike/>
                      <w:sz w:val="18"/>
                      <w:szCs w:val="18"/>
                    </w:rPr>
                  </w:pPr>
                </w:p>
              </w:tc>
            </w:tr>
            <w:tr w:rsidR="008D3E7A" w14:paraId="5BBE24B2" w14:textId="77777777" w:rsidTr="001D1D9D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B48B83" w14:textId="0B548F21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58F197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DOŚWIADCZENIE W REALIZACJI</w:t>
                  </w:r>
                </w:p>
                <w:p w14:paraId="3E38EEE5" w14:textId="79DE5B2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PROJEKTÓW Z UDZIAŁEM ŚRODKÓW PUBLICZNYCH NA RZECZ</w:t>
                  </w:r>
                </w:p>
                <w:p w14:paraId="29319425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lastRenderedPageBreak/>
                    <w:t>MIESZKAŃCÓW OBSZARU LSR w obszarze tematycznym zbliżonym lub podobnym do zakresu tematycznego projektu, jak i ocenie podlega praca z daną grupą docelową z obszaru wdrażania LSR</w:t>
                  </w:r>
                </w:p>
                <w:p w14:paraId="6E0D17D2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  <w:p w14:paraId="0757BEF7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  <w:p w14:paraId="4C45BDF4" w14:textId="77777777" w:rsidR="008D3E7A" w:rsidRPr="008D3E7A" w:rsidRDefault="008D3E7A" w:rsidP="008D3E7A">
                  <w:pPr>
                    <w:spacing w:after="0" w:line="240" w:lineRule="auto"/>
                    <w:rPr>
                      <w:color w:val="0D0D0D" w:themeColor="text1" w:themeTint="F2"/>
                    </w:rPr>
                  </w:pP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</w:p>
                <w:p w14:paraId="2A952AA2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15F65" w14:textId="77777777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 xml:space="preserve">Ocenie podlega potencjał i doświadczenie Wnioskodawcy 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  <w:u w:val="single"/>
                    </w:rPr>
                    <w:t>w obszarze tematycznym zbliżonym lub podobnym do zakresu tematycznego projektu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, jak i 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  <w:u w:val="single"/>
                    </w:rPr>
                    <w:t>ocenie podlega praca z daną grupą docelową z obszaru wdrażania LSR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- realizacja działań na rzecz grupy docelowej wskazane w ogłoszeniu o konkursie.</w:t>
                  </w:r>
                </w:p>
                <w:p w14:paraId="239742D1" w14:textId="77777777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  <w:p w14:paraId="6FCC83A8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Celem tego kryterium jest wybór Wnioskodawcy, który zna specyfikę wdrażania projektów, zna grupę docelową, umie sam prowadzić, zna zasady rekrutacji, napotkał problemy we wdrażaniu projektu, umie go rozliczyć.</w:t>
                  </w:r>
                </w:p>
                <w:p w14:paraId="1A0C0BB1" w14:textId="77777777" w:rsidR="00365E5E" w:rsidRPr="008D3E7A" w:rsidRDefault="00365E5E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3E3A823" w14:textId="77777777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  <w:p w14:paraId="1FB613F8" w14:textId="29D18BAE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Premiowane będzie </w:t>
                  </w:r>
                  <w:proofErr w:type="gramStart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doświadczenie  w</w:t>
                  </w:r>
                  <w:proofErr w:type="gramEnd"/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realizacji projektów na rzecz mieszkańców obszaru LSR 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  <w:u w:val="single"/>
                    </w:rPr>
                    <w:t>w ciągu ostatnich 7 lat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(licząc na dzień ogłoszenia naboru wniosków przez LGD). Doświadczenie odnosi się do projektów współfinansowanych ze środków publicznych, dla których wartość dofinansowania wynosiła min. 40 000,00 zł.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</w:p>
                <w:p w14:paraId="2728CEFD" w14:textId="6697A638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Premiowane będą projekty realizowane przez Wnioskodawców (doświadczenie Partnera nie podlega premiowaniu – punktów nie przyznaje się; doświadczenie Wnioskodawcy jako partnera w projekcie również nie podlega premiowaniu).</w:t>
                  </w:r>
                </w:p>
                <w:p w14:paraId="639974BC" w14:textId="77777777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</w:rPr>
                  </w:pPr>
                </w:p>
                <w:p w14:paraId="11202C50" w14:textId="288C7459" w:rsidR="008D3E7A" w:rsidRP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Projekt musi być zrealizowany i ostatecznie (całkowicie) rozliczony (należy przedłożyć dokumenty potwierdzające spełnienie obu tych warunków). Przez rozliczenie rozumie się ostateczne zaakceptowanie rozliczenia projektu/zadania.)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1FFB3" w14:textId="12E12E34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 xml:space="preserve">10 pkt. – 3 projekty i więcej </w:t>
                  </w:r>
                </w:p>
                <w:p w14:paraId="74D11B1C" w14:textId="49B26983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6 pkt. – 2 projekty</w:t>
                  </w:r>
                </w:p>
                <w:p w14:paraId="34A5A38C" w14:textId="5DCEC5CC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3 pkt. -1 projekt</w:t>
                  </w:r>
                </w:p>
                <w:p w14:paraId="3699FCD4" w14:textId="2A59F5C9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0 pkt. - 0 projektów (brak doświadczenia).</w:t>
                  </w:r>
                </w:p>
                <w:p w14:paraId="38209CDF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trike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1B8E059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strike/>
                      <w:color w:val="0D0D0D" w:themeColor="text1" w:themeTint="F2"/>
                      <w:sz w:val="18"/>
                      <w:szCs w:val="18"/>
                    </w:rPr>
                    <w:lastRenderedPageBreak/>
                    <w:br/>
                  </w:r>
                </w:p>
                <w:p w14:paraId="0B155DE7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5D570B26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2C41011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A77C4EB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AA63EA0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FF0BCAE" w14:textId="77777777" w:rsidR="008D3E7A" w:rsidRP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443AC70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</w:p>
                <w:p w14:paraId="7D16A18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</w:p>
                <w:p w14:paraId="7B73118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D8C8DCF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0147F4F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CC42CF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439A15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64E5A90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8D33351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599982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2E7A29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F74E1E2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290C746" w14:textId="06026E5C" w:rsidR="008D3E7A" w:rsidRPr="00F441B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Max. można uzyskać 10 pkt.</w:t>
                  </w:r>
                  <w:r w:rsidRPr="008D3E7A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br/>
                  </w: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Można uzyskać: 10 pkt lub 6 pkt. lub 3 pkt.</w:t>
                  </w:r>
                  <w:r w:rsidRPr="008D3E7A">
                    <w:rPr>
                      <w:b/>
                      <w:bCs/>
                      <w:color w:val="0D0D0D" w:themeColor="text1" w:themeTint="F2"/>
                    </w:rPr>
                    <w:t xml:space="preserve"> </w:t>
                  </w:r>
                  <w:r w:rsidRPr="008D3E7A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lub 0 pkt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397B02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Oświadczenie będące załącznikiem do ogłoszenia o konkursie.</w:t>
                  </w:r>
                </w:p>
                <w:p w14:paraId="6330C681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13C275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D3E7A" w14:paraId="07E26A63" w14:textId="77777777" w:rsidTr="001D1D9D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86535B2" w14:textId="15AEBFDE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DC9996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PODSTAWOWE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br/>
                    <w:t>FORMY WSPARCIA</w:t>
                  </w: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2A0FA112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Premiowane będą te projekty, które zakładają realizację formę wsparcia na poziomie wyższym aniżeli ten wynikający ze Standardu klubów seniora.</w:t>
                  </w:r>
                </w:p>
                <w:p w14:paraId="34A30B6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DF93C6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Zgodnie ze Standardem klubów seniora współfinansowanych z EFS+ w ramach Działania 7.4 programu Fundusze Europejskie dla Kujaw i Pomorza na lata 2021-2027 wynikającym z założeń SZOP, wsparcie następujące w 10 obszarach.</w:t>
                  </w:r>
                </w:p>
                <w:p w14:paraId="0D8FB216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Wymóg standardu to: realizacja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zadań  w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klubie w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ramach  co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najmniej 3 z 10 obszarów.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5CAFA7F8" w14:textId="4267E8F3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 pkt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-  realizacją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wsparcia w ramach 5 obszarów i więcej</w:t>
                  </w:r>
                </w:p>
                <w:p w14:paraId="6B8E7106" w14:textId="18C1B2BC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 pkt. - realizacja wsparcia w ramach 4 obszarów</w:t>
                  </w:r>
                </w:p>
                <w:p w14:paraId="59CBB4DA" w14:textId="78D94639" w:rsidR="008D3E7A" w:rsidRDefault="008D3E7A" w:rsidP="008D3E7A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 pkt. - realizacja wsparcia na minimalnym wymaganym poziomie</w:t>
                  </w:r>
                </w:p>
                <w:p w14:paraId="76E5EE47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DF306E3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F5C1E4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067F1C0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EB203AE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7E43F523" w14:textId="0E0DAD4D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5 pkt lub 2 pkt. lub 0 pkt.</w:t>
                  </w:r>
                </w:p>
                <w:p w14:paraId="1020408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5 pkt.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4057EB1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Wniosek.</w:t>
                  </w:r>
                </w:p>
              </w:tc>
            </w:tr>
            <w:tr w:rsidR="008D3E7A" w14:paraId="701084FC" w14:textId="77777777" w:rsidTr="001D1D9D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417FEB5" w14:textId="7E2F1233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79315B4" w14:textId="2DE9A810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UZUPEŁNIAJĄCE </w:t>
                  </w:r>
                </w:p>
                <w:p w14:paraId="60B4A42F" w14:textId="173EF216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FORMY WSPARCIA -INTEGRACJA MIĘDZYPOKOLENIOWA</w:t>
                  </w:r>
                </w:p>
                <w:p w14:paraId="0E7D6401" w14:textId="72C7F8D2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 RAMACH KLUBU SENIORA</w:t>
                  </w:r>
                </w:p>
                <w:p w14:paraId="0D0B7A6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3C51C8C" w14:textId="16E5700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C63F81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231846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0B1AC39" w14:textId="232D2B30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Premiowane będą te projekty, które w ramach swoich założeń zakładają realizację zadań </w:t>
                  </w:r>
                  <w:r w:rsidRPr="00785F0C">
                    <w:rPr>
                      <w:rFonts w:ascii="Arial" w:hAnsi="Arial" w:cs="Arial"/>
                      <w:sz w:val="18"/>
                      <w:szCs w:val="18"/>
                    </w:rPr>
                    <w:t>uzupełniających w ramach klubu seniora, tj. realizację działań mających na celu wsparcie i integrację osób starszych uwzględniające udział całej rodziny i całego środowiska w tworzeniu lokalnych sieci integracji i samopomocy (typ 1d projektów Działania 7.4).</w:t>
                  </w:r>
                  <w:r w:rsidR="00730F2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7E53BD">
                    <w:rPr>
                      <w:rFonts w:ascii="Arial" w:hAnsi="Arial" w:cs="Arial"/>
                      <w:strike/>
                      <w:sz w:val="18"/>
                      <w:szCs w:val="18"/>
                    </w:rPr>
                    <w:t xml:space="preserve">wydarzenia ukierunkowanego na integrację </w:t>
                  </w:r>
                  <w:proofErr w:type="gramStart"/>
                  <w:r w:rsidRPr="007E53BD">
                    <w:rPr>
                      <w:rFonts w:ascii="Arial" w:hAnsi="Arial" w:cs="Arial"/>
                      <w:strike/>
                      <w:sz w:val="18"/>
                      <w:szCs w:val="18"/>
                    </w:rPr>
                    <w:lastRenderedPageBreak/>
                    <w:t>międzypokoleniową  mającą</w:t>
                  </w:r>
                  <w:proofErr w:type="gramEnd"/>
                  <w:r w:rsidRPr="007E53BD">
                    <w:rPr>
                      <w:rFonts w:ascii="Arial" w:hAnsi="Arial" w:cs="Arial"/>
                      <w:strike/>
                      <w:sz w:val="18"/>
                      <w:szCs w:val="18"/>
                    </w:rPr>
                    <w:t xml:space="preserve"> na celu wsparcie i integrację osób starszych z rodziną </w:t>
                  </w:r>
                  <w:proofErr w:type="gramStart"/>
                  <w:r w:rsidRPr="007E53BD">
                    <w:rPr>
                      <w:rFonts w:ascii="Arial" w:hAnsi="Arial" w:cs="Arial"/>
                      <w:strike/>
                      <w:sz w:val="18"/>
                      <w:szCs w:val="18"/>
                    </w:rPr>
                    <w:t>i  lokalną</w:t>
                  </w:r>
                  <w:proofErr w:type="gramEnd"/>
                  <w:r w:rsidRPr="007E53BD">
                    <w:rPr>
                      <w:rFonts w:ascii="Arial" w:hAnsi="Arial" w:cs="Arial"/>
                      <w:strike/>
                      <w:sz w:val="18"/>
                      <w:szCs w:val="18"/>
                    </w:rPr>
                    <w:t xml:space="preserve"> społecznością.</w:t>
                  </w:r>
                </w:p>
                <w:p w14:paraId="6B28FF1D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2B63DA22" w14:textId="25091D4F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Wydarzenie to jest realizowane jako wydarzenie samodzielne przez Wnioskodawcę, specjalnie na potrzeby projektu.</w:t>
                  </w:r>
                  <w:r w:rsidR="007E53BD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  <w:p w14:paraId="0875EDA4" w14:textId="022EDC61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Takimi wydarzeniami mogą być: dzień sąsiada, piknik, wigilia sąsiedzka, koncert, kino plenerowe, spotkania ze znanymi aktorami/osobami, spotkania motywujące, pokazy, pikniki/festyny tematyczne np. w ważnych historycznie miejscach na obszarze LSR.</w:t>
                  </w:r>
                </w:p>
                <w:p w14:paraId="2F2A7004" w14:textId="5AC91708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Mając na względzie różne terminy ogłaszania konkursów, forma dostosowana będzie do możliwości organizacji takiego wydarzenia w terminie, w jakim wdrażane będą projekty. Ponadto różne formy pozwolą wdrożyć na terenie LSR, różne aktywności - każdorazowo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 Regulaminie naboru zostanie określona forma/y takiego wydarzenia ze wskazaniem formy, podstawowych składowych wydarzenia, minimalnej liczby uczestników, maksymalnych kwot na zadanie, czas trwania zadania.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A180F37" w14:textId="3FB6D01C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5 pkt. – w ramach projektu zaplanowano realizację zadań uzupełniających w ramach klubu seniora zgodnie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z zasadami opisanymi w Regulaminie naboru wniosków</w:t>
                  </w:r>
                </w:p>
                <w:p w14:paraId="580C6893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23672EC0" w14:textId="3118FE9B" w:rsidR="008D3E7A" w:rsidRPr="00B07F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 pkt. – w ramach projektu nie zaplanowano </w:t>
                  </w:r>
                  <w:r w:rsidRPr="00B07F0B">
                    <w:rPr>
                      <w:rFonts w:ascii="Arial" w:hAnsi="Arial" w:cs="Arial"/>
                      <w:sz w:val="18"/>
                      <w:szCs w:val="18"/>
                    </w:rPr>
                    <w:t>realizacj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r w:rsidRPr="00B07F0B">
                    <w:rPr>
                      <w:rFonts w:ascii="Arial" w:hAnsi="Arial" w:cs="Arial"/>
                      <w:sz w:val="18"/>
                      <w:szCs w:val="18"/>
                    </w:rPr>
                    <w:t xml:space="preserve"> zadań uzupełniających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 ramach </w:t>
                  </w:r>
                  <w:r w:rsidRPr="00B07F0B">
                    <w:rPr>
                      <w:rFonts w:ascii="Arial" w:hAnsi="Arial" w:cs="Arial"/>
                      <w:sz w:val="18"/>
                      <w:szCs w:val="18"/>
                    </w:rPr>
                    <w:t xml:space="preserve">klubu seniora zgodnie </w:t>
                  </w:r>
                </w:p>
                <w:p w14:paraId="40ACA1A0" w14:textId="635A94BE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07F0B">
                    <w:rPr>
                      <w:rFonts w:ascii="Arial" w:hAnsi="Arial" w:cs="Arial"/>
                      <w:sz w:val="18"/>
                      <w:szCs w:val="18"/>
                    </w:rPr>
                    <w:t>z zasadami opisanymi w Regulaminie naboru wniosków</w:t>
                  </w:r>
                </w:p>
                <w:p w14:paraId="453848D6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1BF0DE" w14:textId="77777777" w:rsidR="008D3E7A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B258DB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3ABAD50A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C8BAA83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519412E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4E6302B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DD2ACC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63B08E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1D0C819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2BE234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BA4ED46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FF94685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BDE1D5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3281724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40C99D8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Można uzyskać: 5 pkt. lub 0 pkt.</w:t>
                  </w:r>
                </w:p>
                <w:p w14:paraId="4276BE2C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Max. można uzyskać 5 pkt.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06A7B7E" w14:textId="77777777" w:rsidR="008D3E7A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Wniosek.</w:t>
                  </w:r>
                </w:p>
              </w:tc>
            </w:tr>
            <w:tr w:rsidR="00730F20" w:rsidRPr="00730F20" w14:paraId="066CBCE4" w14:textId="77777777" w:rsidTr="001D1D9D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ECAE0A" w14:textId="1414485E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5A15E" w14:textId="62B2B62A" w:rsidR="008D3E7A" w:rsidRPr="00730F20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 xml:space="preserve">BUDŻET PROJEKTU </w:t>
                  </w:r>
                </w:p>
                <w:p w14:paraId="4CDDAAF7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9303180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AFB6537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588622B3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44562FA1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4CDCEE61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B912990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4615350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BD54B24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CCD3E34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52AAE1A1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F5DCE62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79D98A3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FCF8E6B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EDDA3C8" w14:textId="3984D0D5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23B8A" w14:textId="1E21AC86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Ocenie podlega </w:t>
                  </w:r>
                  <w:r w:rsidR="00730F20"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racjonalność i efektywność planowanych wydatków </w:t>
                  </w: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w budżecie wniosku o powierzenie grantu.</w:t>
                  </w:r>
                </w:p>
                <w:p w14:paraId="462442EB" w14:textId="77777777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1567DF9" w14:textId="27E2E2D1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Preferowane są projekty objęte grantem w których budżet jest racjonalny, a zaplanowane wydatki niezbędne do realizacji zadań oraz zgodne z przepisami prawa obowiązującymi w danym naborze.</w:t>
                  </w:r>
                </w:p>
                <w:p w14:paraId="0BB8E72C" w14:textId="77777777" w:rsidR="00730F20" w:rsidRPr="00561E0B" w:rsidRDefault="00730F20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01BE25C" w14:textId="41DF486A" w:rsidR="00730F20" w:rsidRPr="00561E0B" w:rsidRDefault="00730F20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proofErr w:type="gramStart"/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W  ramach</w:t>
                  </w:r>
                  <w:proofErr w:type="gramEnd"/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kryterium ocenie zostanie poddana racjonalność i efektywność planowanych wydatków         w budżecie wniosku o powierzenie grantu, tj. zweryfikowane zostanie:</w:t>
                  </w:r>
                </w:p>
                <w:p w14:paraId="26915B0F" w14:textId="315F2511" w:rsidR="000B0585" w:rsidRPr="00561E0B" w:rsidRDefault="000B0585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czy zaplanowane wydatki są niezbędne i czy wynikają bezpośrednio z opisanych działań i przyczyniają się do osiągnięcia produktów projektu;</w:t>
                  </w:r>
                </w:p>
                <w:p w14:paraId="31E395E6" w14:textId="77777777" w:rsidR="000B0585" w:rsidRPr="00561E0B" w:rsidRDefault="00730F20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czy zaplanowane wydatki są adekwatne do zakresu i specyfiki projektu, czasu jego realizacji oraz planowanych produktów projektu;</w:t>
                  </w:r>
                </w:p>
                <w:p w14:paraId="146FC3B1" w14:textId="77777777" w:rsidR="000B0585" w:rsidRPr="00561E0B" w:rsidRDefault="00730F20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czy zaplanowane wydatki są zgodne ze standardami lub cenami rynkowymi towarów lub usług,</w:t>
                  </w:r>
                </w:p>
                <w:p w14:paraId="24F10183" w14:textId="77777777" w:rsidR="000B0585" w:rsidRPr="00561E0B" w:rsidRDefault="00730F20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lastRenderedPageBreak/>
                    <w:t>czy określone w projekcie nakłady finansowe służą osiągnięciu możliwie najkorzystniejszych efektów realizacji zadań;</w:t>
                  </w:r>
                </w:p>
                <w:p w14:paraId="52566490" w14:textId="77777777" w:rsidR="000B0585" w:rsidRPr="00561E0B" w:rsidRDefault="00730F20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czy budżet został poprawnie sporządzony (w tym: użyto prawidłowych jednostek miar i wyliczeń kwot);</w:t>
                  </w:r>
                </w:p>
                <w:p w14:paraId="369F5808" w14:textId="28C2C042" w:rsidR="00730F20" w:rsidRPr="00561E0B" w:rsidRDefault="00730F20" w:rsidP="000B0585">
                  <w:pPr>
                    <w:pStyle w:val="Akapitzlist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czy zaplanowano wniesienie na minimalnym poziomie wkładu własnego, w tym wskazano formę wniesienia wkładu własnego.</w:t>
                  </w:r>
                </w:p>
                <w:p w14:paraId="730E135D" w14:textId="77777777" w:rsidR="00730F20" w:rsidRPr="00561E0B" w:rsidRDefault="00730F20" w:rsidP="00730F20">
                  <w:pPr>
                    <w:spacing w:after="0" w:line="240" w:lineRule="auto"/>
                    <w:ind w:left="165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E2B6FA2" w14:textId="6DC921E0" w:rsidR="008D3E7A" w:rsidRPr="00561E0B" w:rsidRDefault="00730F20" w:rsidP="00730F20">
                  <w:pPr>
                    <w:spacing w:after="0" w:line="240" w:lineRule="auto"/>
                    <w:ind w:left="165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 xml:space="preserve">Wydatki w budżecie należy odpowiednio uzasadnić. </w:t>
                  </w:r>
                </w:p>
                <w:p w14:paraId="7590D8A4" w14:textId="77777777" w:rsidR="000B0585" w:rsidRPr="00561E0B" w:rsidRDefault="000B0585" w:rsidP="00730F20">
                  <w:pPr>
                    <w:spacing w:after="0" w:line="240" w:lineRule="auto"/>
                    <w:ind w:left="165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7E0E3BB" w14:textId="06690571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UWAGA</w:t>
                  </w: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! Kryterium warunkujące, nieosiągnięcie minimum punktowego w ramach kryterium skutkuje odmową przyznania pomocy.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A7BB6" w14:textId="4A38DEDE" w:rsidR="00730F20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lastRenderedPageBreak/>
                    <w:t>0-10 pkt.</w:t>
                  </w:r>
                  <w:r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</w:t>
                  </w:r>
                  <w:r w:rsidR="00730F20" w:rsidRPr="00561E0B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racjonalność i efektywność zaplanowanego budżetu projektu </w:t>
                  </w:r>
                </w:p>
                <w:p w14:paraId="6D84934D" w14:textId="77777777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41A9EA4A" w14:textId="77777777" w:rsidR="008D3E7A" w:rsidRPr="00561E0B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578270F0" w14:textId="77777777" w:rsidR="00730F20" w:rsidRPr="00561E0B" w:rsidRDefault="00730F20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99A135D" w14:textId="77777777" w:rsidR="00730F20" w:rsidRPr="00561E0B" w:rsidRDefault="00730F20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300CF75" w14:textId="77777777" w:rsidR="00730F20" w:rsidRPr="00561E0B" w:rsidRDefault="00730F20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C51DBF7" w14:textId="77777777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A0E2D6F" w14:textId="7CF1D78F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 xml:space="preserve">Minimalna liczba punktów, którą musi uzyskać Wnioskodawca za to kryterium – 5 pkt. </w:t>
                  </w:r>
                </w:p>
                <w:p w14:paraId="0FC8F3D5" w14:textId="77777777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0ED5758" w14:textId="77777777" w:rsidR="00730F20" w:rsidRPr="00561E0B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5A07B359" w14:textId="77777777" w:rsidR="00730F20" w:rsidRPr="00561E0B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466D1C2D" w14:textId="77777777" w:rsidR="00730F20" w:rsidRPr="00561E0B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0A7D22B5" w14:textId="74784E9F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Można uzyskać: 10 pkt. lub 0 pkt.</w:t>
                  </w:r>
                </w:p>
                <w:p w14:paraId="1DF06C33" w14:textId="7DA94162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561E0B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Max. można uzyskać 10 pkt.</w:t>
                  </w:r>
                </w:p>
                <w:p w14:paraId="498D5FFD" w14:textId="2B3EDEE3" w:rsidR="008D3E7A" w:rsidRPr="00561E0B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84BB2" w14:textId="7C7A7D8A" w:rsidR="008D3E7A" w:rsidRPr="00730F20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Wniosek.</w:t>
                  </w:r>
                </w:p>
              </w:tc>
            </w:tr>
            <w:tr w:rsidR="008D3E7A" w14:paraId="35AD9A83" w14:textId="77777777" w:rsidTr="001D1D9D">
              <w:trPr>
                <w:trHeight w:val="42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DD015" w14:textId="3E549577" w:rsidR="008D3E7A" w:rsidRPr="00805B94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A20000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2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1B8CA6" w14:textId="57223C62" w:rsidR="008D3E7A" w:rsidRPr="00730F20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OPIS DZIAŁAŃ</w:t>
                  </w:r>
                </w:p>
                <w:p w14:paraId="0DEF121F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2266299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E1809F2" w14:textId="23101FA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34481D5" w14:textId="3B21B2E6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E88EB" w14:textId="77777777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Ocenie podlega opis działań zaplanowanych do wskazanej we wniosku grupy docelowej w odpowiedzi na zdiagnozowane problemy i potrzeby z wykorzystaniem lokalnych zasobów ludzkich, technicznych, finansowych i środowiskowych</w:t>
                  </w:r>
                </w:p>
                <w:p w14:paraId="24C7740B" w14:textId="77777777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2BB8737" w14:textId="77777777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3F3F0BD1" w14:textId="77777777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0B52BA9" w14:textId="77777777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UWAGA! Kryterium warunkujące, nieosiągnięcie minimum </w:t>
                  </w:r>
                </w:p>
                <w:p w14:paraId="163597CE" w14:textId="7158F152" w:rsidR="008D3E7A" w:rsidRPr="00730F20" w:rsidRDefault="008D3E7A" w:rsidP="008D3E7A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punktowego w ramach kryterium skutkuje odmową przyznania pomocy.</w:t>
                  </w:r>
                </w:p>
              </w:tc>
              <w:tc>
                <w:tcPr>
                  <w:tcW w:w="5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C9E598" w14:textId="2CB24638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0-6 pkt.</w:t>
                  </w: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Grantobiorca</w:t>
                  </w:r>
                  <w:proofErr w:type="spellEnd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dokonał  trafnego</w:t>
                  </w:r>
                  <w:proofErr w:type="gramEnd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doboru działań odpowiadających zdiagnozowanym problemom, potrzebom i zasobom lokalnym oraz w sposób wyczerpujący </w:t>
                  </w:r>
                  <w:proofErr w:type="gramStart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uzasadnił  ich</w:t>
                  </w:r>
                  <w:proofErr w:type="gramEnd"/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dobór we wniosku o powierzenie grantu</w:t>
                  </w:r>
                </w:p>
                <w:p w14:paraId="26444B2F" w14:textId="77777777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3CA8BA3" w14:textId="77777777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0-2 pkt.</w:t>
                  </w: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– wniosek o powierzenie grantu zawiera wyczerpujący opis sposobu rekrutacji uczestników / uczestniczek projektu objętego grantem</w:t>
                  </w:r>
                </w:p>
                <w:p w14:paraId="2B4E4299" w14:textId="77777777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4443415E" w14:textId="18C084C5" w:rsidR="008D3E7A" w:rsidRPr="00730F20" w:rsidRDefault="00730F20" w:rsidP="00730F20">
                  <w:pPr>
                    <w:pStyle w:val="Akapitzlist"/>
                    <w:spacing w:after="0" w:line="240" w:lineRule="auto"/>
                    <w:ind w:left="27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0-1</w:t>
                  </w:r>
                  <w:r w:rsidR="008D3E7A"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pkt.</w:t>
                  </w:r>
                  <w:r w:rsidR="008D3E7A"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- wniosek o powierzenie grantu zawiera racjonalny harmonogram działań odpowiadający zakresowi merytorycznemu projektu</w:t>
                  </w:r>
                </w:p>
                <w:p w14:paraId="46FB35A5" w14:textId="77777777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1DC2060F" w14:textId="6476307E" w:rsidR="008D3E7A" w:rsidRPr="00730F20" w:rsidRDefault="008D3E7A" w:rsidP="00730F20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18"/>
                      <w:szCs w:val="18"/>
                    </w:rPr>
                    <w:t>0-1 pkt.</w:t>
                  </w: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 – we wniosku wskazano opis sposobu zarządzania projektem</w:t>
                  </w:r>
                </w:p>
                <w:p w14:paraId="1DB977C9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6F35100A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Punkty sumują się.</w:t>
                  </w:r>
                </w:p>
                <w:p w14:paraId="61B54E69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2AC3EAE0" w14:textId="57348181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 xml:space="preserve">Minimalna liczba punktów, którą musi uzyskać Wnioskodawca za to kryterium – 5 pkt. </w:t>
                  </w:r>
                </w:p>
                <w:p w14:paraId="38FFF498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  <w:p w14:paraId="7301B87D" w14:textId="77777777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Można uzyskać: 10 pkt. lub 0 pkt.</w:t>
                  </w:r>
                </w:p>
                <w:p w14:paraId="29CDC6A8" w14:textId="240F91D1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  <w:r w:rsidRPr="00730F20"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  <w:t>Max. można uzyskać 10 pkt.</w:t>
                  </w:r>
                </w:p>
                <w:p w14:paraId="210D81FE" w14:textId="038DF8E0" w:rsidR="008D3E7A" w:rsidRPr="00730F20" w:rsidRDefault="008D3E7A" w:rsidP="008D3E7A">
                  <w:pPr>
                    <w:spacing w:after="0" w:line="240" w:lineRule="auto"/>
                    <w:rPr>
                      <w:rFonts w:ascii="Arial" w:hAnsi="Arial" w:cs="Arial"/>
                      <w:color w:val="0D0D0D" w:themeColor="text1" w:themeTint="F2"/>
                      <w:sz w:val="18"/>
                      <w:szCs w:val="18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0C40B" w14:textId="3ADD0B94" w:rsidR="008D3E7A" w:rsidRPr="00FE750A" w:rsidRDefault="00730F20" w:rsidP="008D3E7A">
                  <w:pPr>
                    <w:spacing w:after="0" w:line="240" w:lineRule="auto"/>
                    <w:rPr>
                      <w:rFonts w:ascii="Arial" w:hAnsi="Arial" w:cs="Arial"/>
                      <w:color w:val="7030A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Wniosek.</w:t>
                  </w:r>
                </w:p>
              </w:tc>
            </w:tr>
            <w:tr w:rsidR="008D3E7A" w14:paraId="7DA2B749" w14:textId="77777777" w:rsidTr="001D1D9D">
              <w:trPr>
                <w:trHeight w:val="461"/>
              </w:trPr>
              <w:tc>
                <w:tcPr>
                  <w:tcW w:w="1524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F1906" w14:textId="32E70F0E" w:rsidR="008D3E7A" w:rsidRPr="00730F20" w:rsidRDefault="008D3E7A" w:rsidP="008D3E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Max. liczba punktów: 54</w:t>
                  </w:r>
                </w:p>
                <w:p w14:paraId="3AFFAD28" w14:textId="663324D4" w:rsidR="008D3E7A" w:rsidRPr="00730F20" w:rsidRDefault="008D3E7A" w:rsidP="008D3E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 w:rsidRPr="00730F20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sz w:val="28"/>
                      <w:szCs w:val="28"/>
                    </w:rPr>
                    <w:t>Min.  liczba punktów warunkująca wybór projektu: 27.</w:t>
                  </w:r>
                </w:p>
              </w:tc>
            </w:tr>
          </w:tbl>
          <w:p w14:paraId="3BDF73C4" w14:textId="77777777" w:rsidR="00F441BB" w:rsidRDefault="00F441BB" w:rsidP="00031EA7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5020A0E6" w14:textId="77777777" w:rsidR="00031EA7" w:rsidRDefault="00031EA7" w:rsidP="00031EA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KRYTERIUM ROZSTRZYGAJĄCE:</w:t>
            </w:r>
          </w:p>
          <w:p w14:paraId="64CD364C" w14:textId="36BEC203" w:rsidR="00031EA7" w:rsidRPr="008C285C" w:rsidRDefault="00031EA7" w:rsidP="00031EA7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w pierwszej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kolejności :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E7CB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PODSTAWOWE FORMY WSPARCIA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następnie: </w:t>
            </w:r>
            <w:r w:rsidR="00FE7CB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FE7CB0">
              <w:rPr>
                <w:rFonts w:ascii="Arial" w:hAnsi="Arial" w:cs="Arial"/>
                <w:b/>
                <w:bCs/>
                <w:sz w:val="18"/>
                <w:szCs w:val="18"/>
              </w:rPr>
              <w:t>UZUPEŁNIAJĄCE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FORMY WSPARCIA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  INTGERACJA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MIĘDZYPOKOLENIOWA</w:t>
            </w:r>
            <w:r w:rsidR="00FE7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RAMACH KLUBU SENIORA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 gdy to nie zróżnicuje to: termin złożenia wniosku</w:t>
            </w:r>
            <w:r w:rsidR="00E02A7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79A9CB13" w14:textId="77777777" w:rsidR="00F441BB" w:rsidRDefault="00F441BB" w:rsidP="009B69C6">
      <w:pPr>
        <w:rPr>
          <w:rFonts w:ascii="Arial" w:hAnsi="Arial" w:cs="Arial"/>
          <w:b/>
          <w:bCs/>
          <w:color w:val="0D0D0D" w:themeColor="text1" w:themeTint="F2"/>
          <w:sz w:val="18"/>
          <w:szCs w:val="18"/>
        </w:rPr>
      </w:pPr>
    </w:p>
    <w:sectPr w:rsidR="00F441BB">
      <w:headerReference w:type="default" r:id="rId9"/>
      <w:footerReference w:type="default" r:id="rId10"/>
      <w:pgSz w:w="16838" w:h="11906" w:orient="landscape"/>
      <w:pgMar w:top="1417" w:right="1417" w:bottom="1135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3A21" w14:textId="77777777" w:rsidR="00E3101B" w:rsidRDefault="00E3101B">
      <w:pPr>
        <w:spacing w:after="0" w:line="240" w:lineRule="auto"/>
      </w:pPr>
      <w:r>
        <w:separator/>
      </w:r>
    </w:p>
  </w:endnote>
  <w:endnote w:type="continuationSeparator" w:id="0">
    <w:p w14:paraId="1D08C7C8" w14:textId="77777777" w:rsidR="00E3101B" w:rsidRDefault="00E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354E" w14:textId="77777777" w:rsidR="007537DE" w:rsidRDefault="001F3196">
    <w:pPr>
      <w:pStyle w:val="Stopka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34</w:t>
    </w:r>
    <w:r>
      <w:rPr>
        <w:sz w:val="20"/>
      </w:rPr>
      <w:fldChar w:fldCharType="end"/>
    </w:r>
  </w:p>
  <w:p w14:paraId="5AF2C208" w14:textId="77777777" w:rsidR="007537DE" w:rsidRDefault="00753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146" w14:textId="77777777" w:rsidR="00E3101B" w:rsidRDefault="00E3101B">
      <w:pPr>
        <w:rPr>
          <w:sz w:val="12"/>
        </w:rPr>
      </w:pPr>
      <w:r>
        <w:separator/>
      </w:r>
    </w:p>
  </w:footnote>
  <w:footnote w:type="continuationSeparator" w:id="0">
    <w:p w14:paraId="1B3F2923" w14:textId="77777777" w:rsidR="00E3101B" w:rsidRDefault="00E3101B">
      <w:pPr>
        <w:rPr>
          <w:sz w:val="12"/>
        </w:rPr>
      </w:pPr>
      <w:r>
        <w:continuationSeparator/>
      </w:r>
    </w:p>
  </w:footnote>
  <w:footnote w:id="1">
    <w:p w14:paraId="62313714" w14:textId="77777777" w:rsidR="00031EA7" w:rsidRDefault="00031EA7">
      <w:pPr>
        <w:pStyle w:val="Tekstprzypisudolnego"/>
        <w:widowControl w:val="0"/>
        <w:jc w:val="both"/>
        <w:rPr>
          <w:rFonts w:cs="Calibr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Calibri"/>
          <w:sz w:val="18"/>
          <w:szCs w:val="18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03C" w14:textId="62D2B636" w:rsidR="007537DE" w:rsidRDefault="00223E04">
    <w:pPr>
      <w:pStyle w:val="Nagwek"/>
      <w:jc w:val="center"/>
    </w:pPr>
    <w:r w:rsidRPr="00DE7782">
      <w:rPr>
        <w:noProof/>
      </w:rPr>
      <w:drawing>
        <wp:anchor distT="0" distB="0" distL="114300" distR="114300" simplePos="0" relativeHeight="251659264" behindDoc="0" locked="0" layoutInCell="1" allowOverlap="1" wp14:anchorId="48A52C74" wp14:editId="71BCC730">
          <wp:simplePos x="0" y="0"/>
          <wp:positionH relativeFrom="column">
            <wp:posOffset>1946275</wp:posOffset>
          </wp:positionH>
          <wp:positionV relativeFrom="paragraph">
            <wp:posOffset>-295036</wp:posOffset>
          </wp:positionV>
          <wp:extent cx="5762625" cy="581025"/>
          <wp:effectExtent l="0" t="0" r="9525" b="9525"/>
          <wp:wrapNone/>
          <wp:docPr id="189518756" name="Obraz 3" descr="https://lh3.googleusercontent.com/reUDFBtizKA0oZUh2hLvWvlyUBA6iwKjgD4PFhFtoWTZXBm_e18QUilepuwlBWxPVO6QouE2uGLMSOVjqc2gLXcD2CeFridQ15qlUSgSjAP5en1pBRLztZRO088eencAhQ=w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lh3.googleusercontent.com/reUDFBtizKA0oZUh2hLvWvlyUBA6iwKjgD4PFhFtoWTZXBm_e18QUilepuwlBWxPVO6QouE2uGLMSOVjqc2gLXcD2CeFridQ15qlUSgSjAP5en1pBRLztZRO088eencAhQ=w8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58E"/>
    <w:multiLevelType w:val="multilevel"/>
    <w:tmpl w:val="357A010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74A50"/>
    <w:multiLevelType w:val="hybridMultilevel"/>
    <w:tmpl w:val="23C0E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1D67"/>
    <w:multiLevelType w:val="multilevel"/>
    <w:tmpl w:val="8392D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AC737A"/>
    <w:multiLevelType w:val="hybridMultilevel"/>
    <w:tmpl w:val="5ACE0686"/>
    <w:lvl w:ilvl="0" w:tplc="FFFFFFFF">
      <w:start w:val="1"/>
      <w:numFmt w:val="lowerLetter"/>
      <w:lvlText w:val="%1)"/>
      <w:lvlJc w:val="left"/>
      <w:pPr>
        <w:ind w:left="525" w:hanging="360"/>
      </w:pPr>
      <w:rPr>
        <w:rFonts w:hint="default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1740222B"/>
    <w:multiLevelType w:val="multilevel"/>
    <w:tmpl w:val="062C0AD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503F53"/>
    <w:multiLevelType w:val="multilevel"/>
    <w:tmpl w:val="2E303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9620105"/>
    <w:multiLevelType w:val="hybridMultilevel"/>
    <w:tmpl w:val="5ACE0686"/>
    <w:lvl w:ilvl="0" w:tplc="FFFFFFFF">
      <w:start w:val="1"/>
      <w:numFmt w:val="lowerLetter"/>
      <w:lvlText w:val="%1)"/>
      <w:lvlJc w:val="left"/>
      <w:pPr>
        <w:ind w:left="525" w:hanging="360"/>
      </w:pPr>
      <w:rPr>
        <w:rFonts w:hint="default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8191203"/>
    <w:multiLevelType w:val="multilevel"/>
    <w:tmpl w:val="50AAEE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2F2B3E"/>
    <w:multiLevelType w:val="multilevel"/>
    <w:tmpl w:val="353800E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B410E77"/>
    <w:multiLevelType w:val="multilevel"/>
    <w:tmpl w:val="330A4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B49502D"/>
    <w:multiLevelType w:val="hybridMultilevel"/>
    <w:tmpl w:val="125A69F6"/>
    <w:lvl w:ilvl="0" w:tplc="5DFC097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252B3"/>
    <w:multiLevelType w:val="hybridMultilevel"/>
    <w:tmpl w:val="9DE862DA"/>
    <w:lvl w:ilvl="0" w:tplc="F064D8A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4E49"/>
    <w:multiLevelType w:val="multilevel"/>
    <w:tmpl w:val="0D98EA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5B03280"/>
    <w:multiLevelType w:val="multilevel"/>
    <w:tmpl w:val="10B44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0AE7888"/>
    <w:multiLevelType w:val="multilevel"/>
    <w:tmpl w:val="B448ABA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08944EF"/>
    <w:multiLevelType w:val="multilevel"/>
    <w:tmpl w:val="A8AE96D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4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56" w:hanging="1440"/>
      </w:pPr>
      <w:rPr>
        <w:rFonts w:hint="default"/>
      </w:rPr>
    </w:lvl>
  </w:abstractNum>
  <w:abstractNum w:abstractNumId="16" w15:restartNumberingAfterBreak="0">
    <w:nsid w:val="60C23465"/>
    <w:multiLevelType w:val="multilevel"/>
    <w:tmpl w:val="A11A006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57B7A53"/>
    <w:multiLevelType w:val="hybridMultilevel"/>
    <w:tmpl w:val="1422A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330E0"/>
    <w:multiLevelType w:val="multilevel"/>
    <w:tmpl w:val="997C9C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EE51795"/>
    <w:multiLevelType w:val="hybridMultilevel"/>
    <w:tmpl w:val="01C8BA5E"/>
    <w:lvl w:ilvl="0" w:tplc="AEE892A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756F2"/>
    <w:multiLevelType w:val="hybridMultilevel"/>
    <w:tmpl w:val="5ACE0686"/>
    <w:lvl w:ilvl="0" w:tplc="51024870">
      <w:start w:val="1"/>
      <w:numFmt w:val="lowerLetter"/>
      <w:lvlText w:val="%1)"/>
      <w:lvlJc w:val="left"/>
      <w:pPr>
        <w:ind w:left="525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009916899">
    <w:abstractNumId w:val="8"/>
  </w:num>
  <w:num w:numId="2" w16cid:durableId="929238604">
    <w:abstractNumId w:val="13"/>
  </w:num>
  <w:num w:numId="3" w16cid:durableId="147521909">
    <w:abstractNumId w:val="9"/>
  </w:num>
  <w:num w:numId="4" w16cid:durableId="427164878">
    <w:abstractNumId w:val="12"/>
  </w:num>
  <w:num w:numId="5" w16cid:durableId="351226820">
    <w:abstractNumId w:val="2"/>
  </w:num>
  <w:num w:numId="6" w16cid:durableId="163132856">
    <w:abstractNumId w:val="18"/>
  </w:num>
  <w:num w:numId="7" w16cid:durableId="1106730404">
    <w:abstractNumId w:val="7"/>
  </w:num>
  <w:num w:numId="8" w16cid:durableId="289434597">
    <w:abstractNumId w:val="5"/>
  </w:num>
  <w:num w:numId="9" w16cid:durableId="321813098">
    <w:abstractNumId w:val="1"/>
  </w:num>
  <w:num w:numId="10" w16cid:durableId="1000619824">
    <w:abstractNumId w:val="17"/>
  </w:num>
  <w:num w:numId="11" w16cid:durableId="593902286">
    <w:abstractNumId w:val="14"/>
  </w:num>
  <w:num w:numId="12" w16cid:durableId="666976259">
    <w:abstractNumId w:val="0"/>
  </w:num>
  <w:num w:numId="13" w16cid:durableId="1798253475">
    <w:abstractNumId w:val="16"/>
  </w:num>
  <w:num w:numId="14" w16cid:durableId="1611425223">
    <w:abstractNumId w:val="19"/>
  </w:num>
  <w:num w:numId="15" w16cid:durableId="1338265659">
    <w:abstractNumId w:val="10"/>
  </w:num>
  <w:num w:numId="16" w16cid:durableId="1513686975">
    <w:abstractNumId w:val="4"/>
  </w:num>
  <w:num w:numId="17" w16cid:durableId="2085252726">
    <w:abstractNumId w:val="11"/>
  </w:num>
  <w:num w:numId="18" w16cid:durableId="232080845">
    <w:abstractNumId w:val="15"/>
  </w:num>
  <w:num w:numId="19" w16cid:durableId="1566379386">
    <w:abstractNumId w:val="20"/>
  </w:num>
  <w:num w:numId="20" w16cid:durableId="950740568">
    <w:abstractNumId w:val="6"/>
  </w:num>
  <w:num w:numId="21" w16cid:durableId="165186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DE"/>
    <w:rsid w:val="00031EA7"/>
    <w:rsid w:val="000577E5"/>
    <w:rsid w:val="00061107"/>
    <w:rsid w:val="00081F49"/>
    <w:rsid w:val="000A5F89"/>
    <w:rsid w:val="000B0585"/>
    <w:rsid w:val="000B1D82"/>
    <w:rsid w:val="000B7681"/>
    <w:rsid w:val="000D1127"/>
    <w:rsid w:val="000D2910"/>
    <w:rsid w:val="000E3080"/>
    <w:rsid w:val="000F0F19"/>
    <w:rsid w:val="00111CDD"/>
    <w:rsid w:val="00111FC9"/>
    <w:rsid w:val="0011566C"/>
    <w:rsid w:val="001161A4"/>
    <w:rsid w:val="00126D62"/>
    <w:rsid w:val="00141CA9"/>
    <w:rsid w:val="00147292"/>
    <w:rsid w:val="00164FCA"/>
    <w:rsid w:val="0019703E"/>
    <w:rsid w:val="001B4962"/>
    <w:rsid w:val="001B6F6D"/>
    <w:rsid w:val="001C0896"/>
    <w:rsid w:val="001D1D9D"/>
    <w:rsid w:val="001D4D7A"/>
    <w:rsid w:val="001E123E"/>
    <w:rsid w:val="001F3196"/>
    <w:rsid w:val="00206046"/>
    <w:rsid w:val="00223E04"/>
    <w:rsid w:val="00241AC5"/>
    <w:rsid w:val="00247A50"/>
    <w:rsid w:val="00251D36"/>
    <w:rsid w:val="002542F6"/>
    <w:rsid w:val="00274D8F"/>
    <w:rsid w:val="002A327C"/>
    <w:rsid w:val="002F512C"/>
    <w:rsid w:val="00306D65"/>
    <w:rsid w:val="00315C31"/>
    <w:rsid w:val="00365E5E"/>
    <w:rsid w:val="00375A41"/>
    <w:rsid w:val="00395994"/>
    <w:rsid w:val="003A3780"/>
    <w:rsid w:val="003B114F"/>
    <w:rsid w:val="003E66C8"/>
    <w:rsid w:val="003F0B9C"/>
    <w:rsid w:val="004205F4"/>
    <w:rsid w:val="0045554A"/>
    <w:rsid w:val="004C0621"/>
    <w:rsid w:val="00530D44"/>
    <w:rsid w:val="00553C00"/>
    <w:rsid w:val="00561E0B"/>
    <w:rsid w:val="005A1B1C"/>
    <w:rsid w:val="005B1A3E"/>
    <w:rsid w:val="005C765B"/>
    <w:rsid w:val="006166CA"/>
    <w:rsid w:val="006214F5"/>
    <w:rsid w:val="00624EE0"/>
    <w:rsid w:val="00662C7B"/>
    <w:rsid w:val="00666D70"/>
    <w:rsid w:val="00674A4B"/>
    <w:rsid w:val="006911AA"/>
    <w:rsid w:val="006A3E8A"/>
    <w:rsid w:val="006B02F9"/>
    <w:rsid w:val="006B344B"/>
    <w:rsid w:val="006C2321"/>
    <w:rsid w:val="006F474E"/>
    <w:rsid w:val="00726F61"/>
    <w:rsid w:val="00727D7B"/>
    <w:rsid w:val="00730F20"/>
    <w:rsid w:val="007537DE"/>
    <w:rsid w:val="0075501B"/>
    <w:rsid w:val="00756436"/>
    <w:rsid w:val="00764FC9"/>
    <w:rsid w:val="00767195"/>
    <w:rsid w:val="00785F0C"/>
    <w:rsid w:val="00790730"/>
    <w:rsid w:val="007B4635"/>
    <w:rsid w:val="007D244C"/>
    <w:rsid w:val="007D71A5"/>
    <w:rsid w:val="007E25D9"/>
    <w:rsid w:val="007E53BD"/>
    <w:rsid w:val="008026F1"/>
    <w:rsid w:val="00805B94"/>
    <w:rsid w:val="00805FE3"/>
    <w:rsid w:val="008119C5"/>
    <w:rsid w:val="00840525"/>
    <w:rsid w:val="00851C75"/>
    <w:rsid w:val="00861C5C"/>
    <w:rsid w:val="00863E32"/>
    <w:rsid w:val="008858F5"/>
    <w:rsid w:val="008B4F7C"/>
    <w:rsid w:val="008C285C"/>
    <w:rsid w:val="008D3E7A"/>
    <w:rsid w:val="008E0481"/>
    <w:rsid w:val="00934D34"/>
    <w:rsid w:val="009364DF"/>
    <w:rsid w:val="00940F17"/>
    <w:rsid w:val="00942777"/>
    <w:rsid w:val="0094402C"/>
    <w:rsid w:val="00952F21"/>
    <w:rsid w:val="00957C14"/>
    <w:rsid w:val="00980D59"/>
    <w:rsid w:val="0099641D"/>
    <w:rsid w:val="009B69C6"/>
    <w:rsid w:val="009D16D6"/>
    <w:rsid w:val="009E6F74"/>
    <w:rsid w:val="009F49E9"/>
    <w:rsid w:val="00A01B34"/>
    <w:rsid w:val="00A149A4"/>
    <w:rsid w:val="00A214E3"/>
    <w:rsid w:val="00A27A2F"/>
    <w:rsid w:val="00A43C21"/>
    <w:rsid w:val="00A808AF"/>
    <w:rsid w:val="00A91D41"/>
    <w:rsid w:val="00A92F2C"/>
    <w:rsid w:val="00AA404A"/>
    <w:rsid w:val="00AA709F"/>
    <w:rsid w:val="00AA7A6C"/>
    <w:rsid w:val="00AC6F42"/>
    <w:rsid w:val="00AD31C7"/>
    <w:rsid w:val="00AE0926"/>
    <w:rsid w:val="00B07F0B"/>
    <w:rsid w:val="00B13437"/>
    <w:rsid w:val="00B17425"/>
    <w:rsid w:val="00B22CC0"/>
    <w:rsid w:val="00B53033"/>
    <w:rsid w:val="00B559A1"/>
    <w:rsid w:val="00B61AA3"/>
    <w:rsid w:val="00BB46C1"/>
    <w:rsid w:val="00BB6EB7"/>
    <w:rsid w:val="00BC1997"/>
    <w:rsid w:val="00BC50FB"/>
    <w:rsid w:val="00BD0C33"/>
    <w:rsid w:val="00BE271F"/>
    <w:rsid w:val="00BF3F23"/>
    <w:rsid w:val="00C102E8"/>
    <w:rsid w:val="00C30277"/>
    <w:rsid w:val="00C31CE3"/>
    <w:rsid w:val="00C3448E"/>
    <w:rsid w:val="00C62B4D"/>
    <w:rsid w:val="00C73292"/>
    <w:rsid w:val="00C90B8D"/>
    <w:rsid w:val="00CD0A2E"/>
    <w:rsid w:val="00CD6AE2"/>
    <w:rsid w:val="00CE6BFF"/>
    <w:rsid w:val="00DE481B"/>
    <w:rsid w:val="00DE6D11"/>
    <w:rsid w:val="00E02A7F"/>
    <w:rsid w:val="00E13EDD"/>
    <w:rsid w:val="00E2613D"/>
    <w:rsid w:val="00E3101B"/>
    <w:rsid w:val="00E324D1"/>
    <w:rsid w:val="00E5133D"/>
    <w:rsid w:val="00E6643D"/>
    <w:rsid w:val="00E85B1B"/>
    <w:rsid w:val="00EA6378"/>
    <w:rsid w:val="00ED32A9"/>
    <w:rsid w:val="00ED3CC5"/>
    <w:rsid w:val="00F05E4C"/>
    <w:rsid w:val="00F21044"/>
    <w:rsid w:val="00F27958"/>
    <w:rsid w:val="00F368FF"/>
    <w:rsid w:val="00F37AE7"/>
    <w:rsid w:val="00F441BB"/>
    <w:rsid w:val="00F44445"/>
    <w:rsid w:val="00F66692"/>
    <w:rsid w:val="00F70202"/>
    <w:rsid w:val="00F84F63"/>
    <w:rsid w:val="00F87381"/>
    <w:rsid w:val="00FA27F8"/>
    <w:rsid w:val="00FB07F7"/>
    <w:rsid w:val="00FE750A"/>
    <w:rsid w:val="00FE7CB0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0063"/>
  <w15:docId w15:val="{B6F2EF05-569D-4297-A520-699C2A5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5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qFormat/>
  </w:style>
  <w:style w:type="character" w:customStyle="1" w:styleId="markedcontent">
    <w:name w:val="markedcontent"/>
    <w:basedOn w:val="Domylnaczcionkaakapitu"/>
    <w:qFormat/>
  </w:style>
  <w:style w:type="character" w:customStyle="1" w:styleId="DefaultZnak">
    <w:name w:val="Default Znak"/>
    <w:link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link w:val="DefaultZnak"/>
    <w:qFormat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Pr>
      <w:b/>
      <w:bCs/>
    </w:rPr>
  </w:style>
  <w:style w:type="paragraph" w:customStyle="1" w:styleId="Normalny1">
    <w:name w:val="Normalny1"/>
    <w:qFormat/>
    <w:rPr>
      <w:rFonts w:cs="Calibri"/>
      <w:color w:val="000000"/>
      <w:sz w:val="20"/>
      <w:szCs w:val="20"/>
      <w:lang w:eastAsia="pl-PL"/>
    </w:rPr>
  </w:style>
  <w:style w:type="paragraph" w:styleId="Poprawka">
    <w:name w:val="Revision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Zwykatabela1">
    <w:name w:val="Plain Table 1"/>
    <w:basedOn w:val="Standardowy"/>
    <w:uiPriority w:val="41"/>
    <w:rsid w:val="006214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vistul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A36A-572B-4C19-8BCA-73936B49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15</Pages>
  <Words>4643</Words>
  <Characters>27859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ILONA LINCZOWSKA</cp:lastModifiedBy>
  <cp:revision>6</cp:revision>
  <cp:lastPrinted>2024-10-16T12:53:00Z</cp:lastPrinted>
  <dcterms:created xsi:type="dcterms:W3CDTF">2024-06-28T12:54:00Z</dcterms:created>
  <dcterms:modified xsi:type="dcterms:W3CDTF">2026-07-09T11:34:00Z</dcterms:modified>
  <dc:language>pl-PL</dc:language>
</cp:coreProperties>
</file>