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BC3" w14:textId="6ED31D35" w:rsidR="00EC2C5A" w:rsidRPr="006B7FFA" w:rsidRDefault="00000000" w:rsidP="006B7FFA">
      <w:pPr>
        <w:spacing w:after="0" w:line="276" w:lineRule="auto"/>
        <w:ind w:left="0" w:firstLine="0"/>
        <w:rPr>
          <w:sz w:val="22"/>
        </w:rPr>
      </w:pPr>
      <w:r w:rsidRPr="006B7FFA">
        <w:rPr>
          <w:sz w:val="22"/>
        </w:rPr>
        <w:t xml:space="preserve">Załącznik nr </w:t>
      </w:r>
      <w:r w:rsidR="003C6835">
        <w:rPr>
          <w:sz w:val="22"/>
        </w:rPr>
        <w:t>8</w:t>
      </w:r>
      <w:r w:rsidRPr="006B7FFA">
        <w:rPr>
          <w:sz w:val="22"/>
        </w:rPr>
        <w:t xml:space="preserve"> do </w:t>
      </w:r>
      <w:r w:rsidR="006B7FFA" w:rsidRPr="006B7FFA">
        <w:rPr>
          <w:sz w:val="22"/>
        </w:rPr>
        <w:t>Ogłoszenia o naborze wniosków nr 0</w:t>
      </w:r>
      <w:r w:rsidR="00E33BCB">
        <w:rPr>
          <w:sz w:val="22"/>
        </w:rPr>
        <w:t>2</w:t>
      </w:r>
      <w:r w:rsidR="006B7FFA" w:rsidRPr="006B7FFA">
        <w:rPr>
          <w:sz w:val="22"/>
        </w:rPr>
        <w:t>/EFS+/202</w:t>
      </w:r>
      <w:r w:rsidR="00E33BCB">
        <w:rPr>
          <w:sz w:val="22"/>
        </w:rPr>
        <w:t>6_S</w:t>
      </w:r>
    </w:p>
    <w:p w14:paraId="383BA60C" w14:textId="77777777" w:rsidR="006D55F5" w:rsidRPr="006B7FFA" w:rsidRDefault="006D55F5" w:rsidP="006B7FFA">
      <w:pPr>
        <w:spacing w:after="0" w:line="276" w:lineRule="auto"/>
        <w:ind w:left="0" w:firstLine="0"/>
        <w:rPr>
          <w:sz w:val="22"/>
        </w:rPr>
      </w:pPr>
    </w:p>
    <w:p w14:paraId="3BE441B8" w14:textId="185CF4B5" w:rsidR="00EC2C5A" w:rsidRPr="006B7FFA" w:rsidRDefault="00BF33D0" w:rsidP="006B7FFA">
      <w:pPr>
        <w:spacing w:after="0" w:line="276" w:lineRule="auto"/>
        <w:ind w:left="0" w:firstLine="0"/>
        <w:rPr>
          <w:sz w:val="22"/>
        </w:rPr>
      </w:pPr>
      <w:r w:rsidRPr="006B7FFA">
        <w:rPr>
          <w:sz w:val="22"/>
        </w:rPr>
        <w:t>Minimalny standard budżetu projektu</w:t>
      </w:r>
    </w:p>
    <w:p w14:paraId="3EB9F8D3" w14:textId="63FFBEEA" w:rsidR="00EC2C5A" w:rsidRPr="006B7FFA" w:rsidRDefault="00EC2C5A" w:rsidP="006B7FFA">
      <w:pPr>
        <w:spacing w:after="0" w:line="276" w:lineRule="auto"/>
        <w:ind w:left="0" w:firstLine="0"/>
        <w:rPr>
          <w:sz w:val="22"/>
        </w:rPr>
      </w:pPr>
    </w:p>
    <w:p w14:paraId="7F8B8D57" w14:textId="77777777" w:rsidR="00EC2C5A" w:rsidRPr="006B7FFA" w:rsidRDefault="0000000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Przy planowaniu wydatków Wnioskodawca powinien kierować się zasadą, aby ujęty w budżecie koszt był niezbędny do realizacji celu projektu i został dokonany w sposób przejrzysty, racjonalny i efektywny, z zachowaniem zasad uzyskiwania najlepszych efektów z danych nakładów. </w:t>
      </w:r>
    </w:p>
    <w:p w14:paraId="08D73D5B" w14:textId="77777777" w:rsidR="00BF33D0" w:rsidRPr="006B7FFA" w:rsidRDefault="0000000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Każdy zaplanowany w budżecie projektu koszt powinien zostać odpowiednio uzasadniony. </w:t>
      </w:r>
    </w:p>
    <w:p w14:paraId="1446F066" w14:textId="77777777" w:rsidR="00BF33D0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>Zaplanowane wydatki muszą być niezbędne i czy wynikają bezpośrednio z opisanych działań i przyczyniają się do osiągnięcia produktów projektu.</w:t>
      </w:r>
    </w:p>
    <w:p w14:paraId="4A25ACE3" w14:textId="77777777" w:rsidR="00BF33D0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>Zaplanowane wydatki musza być adekwatne do zakresu i specyfiki projektu, czasu jego realizacji oraz planowanych produktów projektu.</w:t>
      </w:r>
    </w:p>
    <w:p w14:paraId="0221B6AC" w14:textId="42CF86AB" w:rsidR="00BF33D0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>Zaplanowane wydatki w budżecie musza być zgodne ze standardami lub cenami rynkowymi towarów lub usług.</w:t>
      </w:r>
    </w:p>
    <w:p w14:paraId="4F049AD7" w14:textId="77777777" w:rsidR="00BF33D0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>Określone w projekcie nakłady finansowe muszą służą osiągnięciu możliwie najkorzystniejszych efektów realizacji zadań.</w:t>
      </w:r>
    </w:p>
    <w:p w14:paraId="40B5A307" w14:textId="60959815" w:rsidR="00BF33D0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Wydatki w budżecie należy odpowiednio uzasadnić. </w:t>
      </w:r>
    </w:p>
    <w:p w14:paraId="308AA666" w14:textId="77777777" w:rsidR="00EC2C5A" w:rsidRPr="006B7FFA" w:rsidRDefault="0000000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Wszystkie kwoty w szczegółowym budżecie powinny być wykazane w złotych (do dwóch miejsc po przecinku).  </w:t>
      </w:r>
    </w:p>
    <w:p w14:paraId="521E558B" w14:textId="77777777" w:rsidR="00EC2C5A" w:rsidRPr="006B7FFA" w:rsidRDefault="0000000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Wnioskodawca przedstawia w budżecie planowane koszty projektu w podziale na: </w:t>
      </w:r>
    </w:p>
    <w:p w14:paraId="70C4A211" w14:textId="3D171C43" w:rsidR="00EC2C5A" w:rsidRPr="006B7FFA" w:rsidRDefault="00000000" w:rsidP="006B7FFA">
      <w:pPr>
        <w:numPr>
          <w:ilvl w:val="2"/>
          <w:numId w:val="2"/>
        </w:numPr>
        <w:spacing w:after="0" w:line="276" w:lineRule="auto"/>
        <w:ind w:right="15" w:hanging="360"/>
        <w:rPr>
          <w:sz w:val="22"/>
        </w:rPr>
      </w:pPr>
      <w:r w:rsidRPr="006B7FFA">
        <w:rPr>
          <w:b/>
          <w:bCs/>
          <w:sz w:val="22"/>
        </w:rPr>
        <w:t>Koszty bezpośrednie</w:t>
      </w:r>
      <w:r w:rsidR="00BF33D0" w:rsidRPr="006B7FFA">
        <w:rPr>
          <w:sz w:val="22"/>
        </w:rPr>
        <w:t xml:space="preserve"> - </w:t>
      </w:r>
      <w:r w:rsidRPr="006B7FFA">
        <w:rPr>
          <w:sz w:val="22"/>
        </w:rPr>
        <w:t xml:space="preserve">koszty dotyczące realizacji zadania merytorycznego w projekcie. </w:t>
      </w:r>
    </w:p>
    <w:p w14:paraId="428A4795" w14:textId="72EBC1DE" w:rsidR="00EC2C5A" w:rsidRPr="006B7FFA" w:rsidRDefault="00000000" w:rsidP="006B7FFA">
      <w:pPr>
        <w:numPr>
          <w:ilvl w:val="2"/>
          <w:numId w:val="2"/>
        </w:numPr>
        <w:spacing w:after="0" w:line="276" w:lineRule="auto"/>
        <w:ind w:right="15" w:hanging="360"/>
        <w:rPr>
          <w:sz w:val="22"/>
        </w:rPr>
      </w:pPr>
      <w:r w:rsidRPr="006B7FFA">
        <w:rPr>
          <w:b/>
          <w:bCs/>
          <w:sz w:val="22"/>
        </w:rPr>
        <w:t>Koszty administracyjne</w:t>
      </w:r>
      <w:r w:rsidR="00BF33D0" w:rsidRPr="006B7FFA">
        <w:rPr>
          <w:sz w:val="22"/>
        </w:rPr>
        <w:t xml:space="preserve"> - </w:t>
      </w:r>
      <w:r w:rsidRPr="006B7FFA">
        <w:rPr>
          <w:sz w:val="22"/>
        </w:rPr>
        <w:t xml:space="preserve">koszty związane z obsługą projektu objętego dofinansowaniem i jego zarządzaniem przez Wnioskodawcę, do wysokości 20% kosztów zadań merytorycznych (niezależnie od źródła finansowania tych kosztów). </w:t>
      </w:r>
    </w:p>
    <w:p w14:paraId="3037E5EA" w14:textId="77777777" w:rsidR="00BF33D0" w:rsidRPr="006B7FFA" w:rsidRDefault="00BF33D0" w:rsidP="006B7FFA">
      <w:pPr>
        <w:spacing w:after="0" w:line="276" w:lineRule="auto"/>
        <w:ind w:left="708" w:right="15" w:firstLine="0"/>
        <w:rPr>
          <w:sz w:val="22"/>
        </w:rPr>
      </w:pPr>
    </w:p>
    <w:p w14:paraId="6BB352A7" w14:textId="77777777" w:rsidR="004A0EEA" w:rsidRPr="006B7FFA" w:rsidRDefault="004A0EEA" w:rsidP="006B7FFA">
      <w:pPr>
        <w:spacing w:after="0" w:line="276" w:lineRule="auto"/>
        <w:ind w:left="708" w:right="15" w:firstLine="0"/>
        <w:rPr>
          <w:sz w:val="22"/>
        </w:rPr>
      </w:pPr>
    </w:p>
    <w:p w14:paraId="4DE8FE10" w14:textId="12C58644" w:rsidR="00EC2C5A" w:rsidRPr="006B7FFA" w:rsidRDefault="00000000" w:rsidP="006B7FFA">
      <w:pPr>
        <w:spacing w:after="0" w:line="276" w:lineRule="auto"/>
        <w:ind w:left="708" w:right="15" w:firstLine="0"/>
        <w:rPr>
          <w:sz w:val="22"/>
        </w:rPr>
      </w:pPr>
      <w:r w:rsidRPr="006B7FFA">
        <w:rPr>
          <w:sz w:val="22"/>
        </w:rPr>
        <w:t xml:space="preserve">Koszty administracyjne stanowią w szczególności: </w:t>
      </w:r>
      <w:r w:rsidR="00B05962">
        <w:rPr>
          <w:sz w:val="22"/>
        </w:rPr>
        <w:br/>
      </w:r>
    </w:p>
    <w:p w14:paraId="7E678AF8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koordynatora lub kierownika projektu oraz innego personelu bezpośrednio zaangażowanego w zarządzanie, rozliczanie, monitorowanie projektu lub prowadzenie innych działań administracyjnych w projekcie, w tym w szczególności koszty wynagrodzenia tych osób, ich delegacji służbowych i szkoleń oraz koszty związane z wdrażaniem polityki równych szans przez te osoby, </w:t>
      </w:r>
    </w:p>
    <w:p w14:paraId="654B4028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lastRenderedPageBreak/>
        <w:t xml:space="preserve">koszty zarządu (koszty wynagrodzenia osób uprawnionych do reprezentowania jednostki, których zakresy czynności nie są przypisane wyłącznie do projektu, np. kierownik jednostki), </w:t>
      </w:r>
    </w:p>
    <w:p w14:paraId="12E9264F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personelu obsługowego (obsługa kadrowa, finansowa, administracyjna, sekretariat, kancelaria, obsługa prawna, w tym ta dotycząca zamówień) na potrzeby funkcjonowania jednostki, </w:t>
      </w:r>
    </w:p>
    <w:p w14:paraId="156F6E22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obsługi księgowej (koszty wynagrodzenia osób księgujących wydatki w projekcie, w tym koszty zlecenia prowadzenia obsługi księgowej projektu biuru rachunkowemu), </w:t>
      </w:r>
    </w:p>
    <w:p w14:paraId="6EE0C220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utrzymania powierzchni biurowych (czynsz, najem, opłaty administracyjne) związanych z obsługą administracyjną projektu, </w:t>
      </w:r>
    </w:p>
    <w:p w14:paraId="3F84332C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działania informacyjno-promocyjne projektu (np. zakup materiałów promocyjnych i informacyjnych, zakup ogłoszeń prasowych, utworzenie i prowadzenie strony internetowej o projekcie, oznakowanie projektu, plakaty, ulotki, itp.), </w:t>
      </w:r>
    </w:p>
    <w:p w14:paraId="4DABE80A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amortyzacja, najem lub zakup aktywów (środków trwałych i wartości niematerialnych i prawnych) używanych na potrzeby osób, o których mowa w lit. a - d, </w:t>
      </w:r>
    </w:p>
    <w:p w14:paraId="56F1A54B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opłaty za energię elektryczną, cieplną, gazową i wodę, opłaty przesyłowe, opłaty za odprowadzanie ścieków w zakresie związanym z obsługą administracyjną projektu, </w:t>
      </w:r>
    </w:p>
    <w:p w14:paraId="0F5F0A09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usług pocztowych, telefonicznych, internetowych, kurierskich związanych z obsługą administracyjną projektu, </w:t>
      </w:r>
    </w:p>
    <w:p w14:paraId="4C10C24D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usług powielania dokumentów związanych z obsługą administracyjną projektu, </w:t>
      </w:r>
    </w:p>
    <w:p w14:paraId="39FAE54E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materiałów biurowych i artykułów piśmienniczych związanych z obsługą administracyjną projektu, </w:t>
      </w:r>
    </w:p>
    <w:p w14:paraId="693BB94D" w14:textId="77777777" w:rsidR="00EC2C5A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sprzątania pomieszczeń związanych z obsługą administracyjną projektu, w tym środki do utrzymania ich czystości oraz dezynsekcję, dezynfekcję, deratyzację tych pomieszczeń, </w:t>
      </w:r>
    </w:p>
    <w:p w14:paraId="2E81AE95" w14:textId="5EBAEAAF" w:rsidR="006D55F5" w:rsidRPr="006B7FFA" w:rsidRDefault="00000000" w:rsidP="006B7FFA">
      <w:pPr>
        <w:numPr>
          <w:ilvl w:val="1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koszty zabezpieczenia prawidłowej realizacji umów. </w:t>
      </w:r>
    </w:p>
    <w:p w14:paraId="519D64F0" w14:textId="01ED004F" w:rsidR="00EC2C5A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 Przygotowywanie budżetu projektu grantowego powinno odbywać się w oparciu o zapisy Wytycznych dotyczących kwalifikowalności wydatków na lata 2021-2027 (podrozdział 2.2 pkt 1 lit. a i lit. e-f, 2.3, 2.4, 2.6 i 3.5). </w:t>
      </w:r>
    </w:p>
    <w:p w14:paraId="1E36366A" w14:textId="65F84E9E" w:rsidR="00EC2C5A" w:rsidRPr="006B7FF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 Cross-</w:t>
      </w:r>
      <w:proofErr w:type="spellStart"/>
      <w:r w:rsidRPr="006B7FFA">
        <w:rPr>
          <w:sz w:val="22"/>
        </w:rPr>
        <w:t>financing</w:t>
      </w:r>
      <w:proofErr w:type="spellEnd"/>
      <w:r w:rsidRPr="006B7FFA">
        <w:rPr>
          <w:sz w:val="22"/>
        </w:rPr>
        <w:t xml:space="preserve"> –w ramach naboru </w:t>
      </w:r>
      <w:r w:rsidRPr="006B7FFA">
        <w:rPr>
          <w:b/>
          <w:sz w:val="22"/>
        </w:rPr>
        <w:t>nie dopuszcza się cross-</w:t>
      </w:r>
      <w:proofErr w:type="spellStart"/>
      <w:r w:rsidRPr="006B7FFA">
        <w:rPr>
          <w:b/>
          <w:sz w:val="22"/>
        </w:rPr>
        <w:t>financingu</w:t>
      </w:r>
      <w:proofErr w:type="spellEnd"/>
      <w:r w:rsidRPr="006B7FFA">
        <w:rPr>
          <w:b/>
          <w:sz w:val="22"/>
        </w:rPr>
        <w:t>.</w:t>
      </w:r>
      <w:r w:rsidRPr="006B7FFA">
        <w:rPr>
          <w:sz w:val="22"/>
        </w:rPr>
        <w:t xml:space="preserve"> </w:t>
      </w:r>
    </w:p>
    <w:p w14:paraId="20D23137" w14:textId="7C31824E" w:rsidR="00EC2C5A" w:rsidRDefault="00BF33D0" w:rsidP="006B7FFA">
      <w:pPr>
        <w:numPr>
          <w:ilvl w:val="0"/>
          <w:numId w:val="1"/>
        </w:numPr>
        <w:spacing w:after="0" w:line="276" w:lineRule="auto"/>
        <w:ind w:right="15" w:hanging="360"/>
        <w:rPr>
          <w:sz w:val="22"/>
        </w:rPr>
      </w:pPr>
      <w:r w:rsidRPr="006B7FFA">
        <w:rPr>
          <w:sz w:val="22"/>
        </w:rPr>
        <w:t xml:space="preserve"> Dla</w:t>
      </w:r>
      <w:r w:rsidRPr="006B7FFA">
        <w:rPr>
          <w:b/>
          <w:sz w:val="22"/>
        </w:rPr>
        <w:t xml:space="preserve"> </w:t>
      </w:r>
      <w:r w:rsidRPr="006B7FFA">
        <w:rPr>
          <w:sz w:val="22"/>
        </w:rPr>
        <w:t xml:space="preserve">działań określono standard cen rynkowych: </w:t>
      </w:r>
    </w:p>
    <w:p w14:paraId="5D0333D4" w14:textId="77777777" w:rsidR="006B7FFA" w:rsidRDefault="006B7FFA" w:rsidP="006B7FFA">
      <w:pPr>
        <w:spacing w:after="0" w:line="276" w:lineRule="auto"/>
        <w:ind w:right="15"/>
        <w:rPr>
          <w:sz w:val="22"/>
        </w:rPr>
      </w:pPr>
    </w:p>
    <w:p w14:paraId="0FA15EF4" w14:textId="77777777" w:rsidR="006B7FFA" w:rsidRDefault="006B7FFA" w:rsidP="006B7FFA">
      <w:pPr>
        <w:spacing w:after="0" w:line="276" w:lineRule="auto"/>
        <w:ind w:right="15"/>
        <w:rPr>
          <w:sz w:val="22"/>
        </w:rPr>
      </w:pPr>
    </w:p>
    <w:p w14:paraId="549B246B" w14:textId="77777777" w:rsidR="006B7FFA" w:rsidRPr="006B7FFA" w:rsidRDefault="006B7FFA" w:rsidP="006B7FFA">
      <w:pPr>
        <w:spacing w:after="0" w:line="276" w:lineRule="auto"/>
        <w:ind w:right="15"/>
        <w:rPr>
          <w:sz w:val="22"/>
        </w:rPr>
      </w:pPr>
    </w:p>
    <w:tbl>
      <w:tblPr>
        <w:tblStyle w:val="TableGrid"/>
        <w:tblW w:w="14163" w:type="dxa"/>
        <w:tblInd w:w="7" w:type="dxa"/>
        <w:tblCellMar>
          <w:top w:w="45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11892"/>
        <w:gridCol w:w="1709"/>
      </w:tblGrid>
      <w:tr w:rsidR="00EC2C5A" w:rsidRPr="006B7FFA" w14:paraId="271C02C8" w14:textId="77777777" w:rsidTr="004A0EEA">
        <w:trPr>
          <w:trHeight w:val="4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6C101" w14:textId="77777777" w:rsidR="00EC2C5A" w:rsidRPr="006B7FFA" w:rsidRDefault="00000000" w:rsidP="006B7FFA">
            <w:pPr>
              <w:spacing w:after="0" w:line="276" w:lineRule="auto"/>
              <w:ind w:left="1" w:firstLine="0"/>
              <w:rPr>
                <w:sz w:val="22"/>
              </w:rPr>
            </w:pPr>
            <w:r w:rsidRPr="006B7FFA">
              <w:rPr>
                <w:sz w:val="22"/>
              </w:rPr>
              <w:lastRenderedPageBreak/>
              <w:t xml:space="preserve">Lp. </w:t>
            </w:r>
          </w:p>
        </w:tc>
        <w:tc>
          <w:tcPr>
            <w:tcW w:w="1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171BC8" w14:textId="77777777" w:rsidR="00EC2C5A" w:rsidRPr="006B7FFA" w:rsidRDefault="00000000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t xml:space="preserve">Kategoria wydatku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918805" w14:textId="77777777" w:rsidR="00EC2C5A" w:rsidRPr="006B7FFA" w:rsidRDefault="00000000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t xml:space="preserve">Stawka maksymalna </w:t>
            </w:r>
          </w:p>
        </w:tc>
      </w:tr>
      <w:tr w:rsidR="00EC2C5A" w:rsidRPr="006B7FFA" w14:paraId="53C74103" w14:textId="77777777" w:rsidTr="00AD1EE3">
        <w:trPr>
          <w:trHeight w:val="14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A2F5" w14:textId="05419602" w:rsidR="00EC2C5A" w:rsidRPr="006B7FFA" w:rsidRDefault="004A0EEA" w:rsidP="006B7FFA">
            <w:pPr>
              <w:spacing w:after="0" w:line="276" w:lineRule="auto"/>
              <w:ind w:left="1" w:firstLine="0"/>
              <w:rPr>
                <w:sz w:val="22"/>
              </w:rPr>
            </w:pPr>
            <w:r w:rsidRPr="006B7FFA">
              <w:rPr>
                <w:sz w:val="22"/>
              </w:rPr>
              <w:t>1</w:t>
            </w:r>
            <w:r w:rsidR="00BF33D0" w:rsidRPr="006B7FFA">
              <w:rPr>
                <w:sz w:val="22"/>
              </w:rPr>
              <w:t>.</w:t>
            </w:r>
          </w:p>
        </w:tc>
        <w:tc>
          <w:tcPr>
            <w:tcW w:w="1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880" w14:textId="2F468CA5" w:rsidR="00EC2C5A" w:rsidRDefault="00F82D81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F82D81">
              <w:rPr>
                <w:b/>
                <w:bCs/>
                <w:sz w:val="22"/>
              </w:rPr>
              <w:t>WYPOSAŻENIE KLUBU</w:t>
            </w:r>
            <w:r w:rsidRPr="006B7FFA">
              <w:rPr>
                <w:sz w:val="22"/>
              </w:rPr>
              <w:t xml:space="preserve"> </w:t>
            </w:r>
            <w:r w:rsidR="004A0EEA" w:rsidRPr="006B7FFA">
              <w:rPr>
                <w:sz w:val="22"/>
              </w:rPr>
              <w:t xml:space="preserve">w zakresie niezbędnym do jego funkcjonowania </w:t>
            </w:r>
          </w:p>
          <w:p w14:paraId="12BA2F70" w14:textId="77777777" w:rsidR="00F82D81" w:rsidRDefault="00F82D81" w:rsidP="006B7FFA">
            <w:pPr>
              <w:spacing w:after="0" w:line="276" w:lineRule="auto"/>
              <w:ind w:left="0" w:firstLine="0"/>
              <w:rPr>
                <w:sz w:val="22"/>
              </w:rPr>
            </w:pPr>
          </w:p>
          <w:p w14:paraId="67B277DA" w14:textId="015A6712" w:rsidR="00F82D81" w:rsidRPr="00C36264" w:rsidRDefault="00F82D81" w:rsidP="00F82D81">
            <w:pPr>
              <w:spacing w:after="0" w:line="276" w:lineRule="auto"/>
              <w:ind w:left="0" w:firstLine="0"/>
              <w:rPr>
                <w:color w:val="3F0065"/>
                <w:sz w:val="22"/>
              </w:rPr>
            </w:pPr>
            <w:r w:rsidRPr="00C36264">
              <w:rPr>
                <w:color w:val="3F0065"/>
                <w:sz w:val="22"/>
              </w:rPr>
              <w:t xml:space="preserve">Ważne: </w:t>
            </w:r>
          </w:p>
          <w:p w14:paraId="34D85A0F" w14:textId="126BDEFD" w:rsidR="00F82D81" w:rsidRPr="00C36264" w:rsidRDefault="00F82D81" w:rsidP="00F82D81">
            <w:pPr>
              <w:spacing w:after="0" w:line="276" w:lineRule="auto"/>
              <w:ind w:left="0" w:firstLine="0"/>
              <w:rPr>
                <w:color w:val="3F0065"/>
                <w:sz w:val="22"/>
              </w:rPr>
            </w:pPr>
            <w:r w:rsidRPr="00C36264">
              <w:rPr>
                <w:color w:val="3F0065"/>
                <w:sz w:val="22"/>
              </w:rPr>
              <w:t xml:space="preserve">LGD dopuszcza możliwość zakupów </w:t>
            </w:r>
            <w:r w:rsidR="000B044B" w:rsidRPr="00C36264">
              <w:rPr>
                <w:color w:val="3F0065"/>
                <w:sz w:val="22"/>
              </w:rPr>
              <w:t xml:space="preserve">(o wartości jednostkowej </w:t>
            </w:r>
            <w:r w:rsidR="000B044B" w:rsidRPr="00C36264">
              <w:rPr>
                <w:color w:val="3F0065"/>
                <w:sz w:val="22"/>
              </w:rPr>
              <w:t>równej lub wyższej niż 10 000 zł nett</w:t>
            </w:r>
            <w:r w:rsidR="000B044B" w:rsidRPr="00C36264">
              <w:rPr>
                <w:color w:val="3F0065"/>
                <w:sz w:val="22"/>
              </w:rPr>
              <w:t>o) koniecznych do realizacji/</w:t>
            </w:r>
            <w:r w:rsidRPr="00C36264">
              <w:rPr>
                <w:color w:val="3F0065"/>
                <w:sz w:val="22"/>
              </w:rPr>
              <w:t xml:space="preserve">osiągnięcia celów </w:t>
            </w:r>
            <w:r w:rsidR="000B044B" w:rsidRPr="00C36264">
              <w:rPr>
                <w:color w:val="3F0065"/>
                <w:sz w:val="22"/>
              </w:rPr>
              <w:t xml:space="preserve">merytorycznych </w:t>
            </w:r>
            <w:r w:rsidRPr="00C36264">
              <w:rPr>
                <w:color w:val="3F0065"/>
                <w:sz w:val="22"/>
              </w:rPr>
              <w:t>projektu wynikających z wniosku o powierzenie grantu np. zakup sprzętu/urządzeń/mebli na potrzeby wyposażenia niezbędnego do realizacji wsparcia uczestników projektu, co w rozumieniu Wytycznych dotyczących kwalifikowalności nie stanowią cross-</w:t>
            </w:r>
            <w:proofErr w:type="spellStart"/>
            <w:r w:rsidRPr="00C36264">
              <w:rPr>
                <w:color w:val="3F0065"/>
                <w:sz w:val="22"/>
              </w:rPr>
              <w:t>financingu</w:t>
            </w:r>
            <w:proofErr w:type="spellEnd"/>
            <w:r w:rsidRPr="00C36264">
              <w:rPr>
                <w:color w:val="3F0065"/>
                <w:sz w:val="22"/>
              </w:rPr>
              <w:t>.</w:t>
            </w:r>
          </w:p>
          <w:p w14:paraId="0C3BA051" w14:textId="77777777" w:rsidR="00F82D81" w:rsidRPr="00C36264" w:rsidRDefault="00F82D81" w:rsidP="00F82D81">
            <w:pPr>
              <w:spacing w:after="0" w:line="276" w:lineRule="auto"/>
              <w:ind w:left="0" w:firstLine="0"/>
              <w:rPr>
                <w:color w:val="3F0065"/>
                <w:sz w:val="22"/>
              </w:rPr>
            </w:pPr>
          </w:p>
          <w:p w14:paraId="2A8D4994" w14:textId="11D3D80C" w:rsidR="00F82D81" w:rsidRPr="006B7FFA" w:rsidRDefault="00F82D81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C36264">
              <w:rPr>
                <w:color w:val="3F0065"/>
                <w:sz w:val="22"/>
              </w:rPr>
              <w:t>Przed zaplanowaniem wydatków dot. wyposażenia należy zweryfikować czy planowany zakres nie dotyczy cross-</w:t>
            </w:r>
            <w:proofErr w:type="spellStart"/>
            <w:r w:rsidRPr="00C36264">
              <w:rPr>
                <w:color w:val="3F0065"/>
                <w:sz w:val="22"/>
              </w:rPr>
              <w:t>financingu</w:t>
            </w:r>
            <w:proofErr w:type="spellEnd"/>
            <w:r w:rsidRPr="00C36264">
              <w:rPr>
                <w:color w:val="3F0065"/>
                <w:sz w:val="22"/>
              </w:rPr>
              <w:t xml:space="preserve">, który w ramach niniejszego naboru jest niedopuszczalny.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541" w14:textId="77777777" w:rsidR="00EC2C5A" w:rsidRDefault="00000000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t xml:space="preserve">do 10% </w:t>
            </w:r>
            <w:r w:rsidR="006D55F5" w:rsidRPr="006B7FFA">
              <w:rPr>
                <w:sz w:val="22"/>
              </w:rPr>
              <w:t>kosztów zadań merytorycznych</w:t>
            </w:r>
          </w:p>
          <w:p w14:paraId="04850F04" w14:textId="77777777" w:rsidR="00E33BCB" w:rsidRDefault="00E33BCB" w:rsidP="006B7FFA">
            <w:pPr>
              <w:spacing w:after="0" w:line="276" w:lineRule="auto"/>
              <w:ind w:left="0" w:firstLine="0"/>
              <w:rPr>
                <w:sz w:val="22"/>
              </w:rPr>
            </w:pPr>
          </w:p>
          <w:p w14:paraId="094C6B91" w14:textId="3BCC653E" w:rsidR="00E33BCB" w:rsidRPr="00D97FAD" w:rsidRDefault="00E33BCB" w:rsidP="006B7FFA">
            <w:pPr>
              <w:spacing w:after="0" w:line="276" w:lineRule="auto"/>
              <w:ind w:left="0" w:firstLine="0"/>
              <w:rPr>
                <w:i/>
                <w:iCs/>
                <w:sz w:val="22"/>
              </w:rPr>
            </w:pPr>
            <w:r w:rsidRPr="00D97FAD">
              <w:rPr>
                <w:i/>
                <w:iCs/>
                <w:sz w:val="22"/>
              </w:rPr>
              <w:t xml:space="preserve">dot. projektu </w:t>
            </w:r>
          </w:p>
        </w:tc>
      </w:tr>
      <w:tr w:rsidR="00EC2C5A" w:rsidRPr="006B7FFA" w14:paraId="64ACB2C2" w14:textId="77777777" w:rsidTr="004A0EEA">
        <w:trPr>
          <w:trHeight w:val="1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7CB" w14:textId="507B000C" w:rsidR="00EC2C5A" w:rsidRPr="006B7FFA" w:rsidRDefault="004A0EEA" w:rsidP="006B7FFA">
            <w:pPr>
              <w:spacing w:after="0" w:line="276" w:lineRule="auto"/>
              <w:rPr>
                <w:sz w:val="22"/>
              </w:rPr>
            </w:pPr>
            <w:r w:rsidRPr="006B7FFA">
              <w:rPr>
                <w:sz w:val="22"/>
              </w:rPr>
              <w:t xml:space="preserve">2. </w:t>
            </w:r>
          </w:p>
        </w:tc>
        <w:tc>
          <w:tcPr>
            <w:tcW w:w="1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9A2" w14:textId="7AED7C8F" w:rsidR="006D55F5" w:rsidRPr="00E33BCB" w:rsidRDefault="00F82D81" w:rsidP="006B7FFA">
            <w:pPr>
              <w:spacing w:after="0" w:line="276" w:lineRule="auto"/>
              <w:ind w:left="0" w:firstLine="0"/>
              <w:rPr>
                <w:b/>
                <w:bCs/>
                <w:color w:val="0D0D0D" w:themeColor="text1" w:themeTint="F2"/>
                <w:sz w:val="22"/>
              </w:rPr>
            </w:pPr>
            <w:r w:rsidRPr="006B7FFA">
              <w:rPr>
                <w:sz w:val="22"/>
              </w:rPr>
              <w:t xml:space="preserve">DZIAŁANIA </w:t>
            </w:r>
            <w:r w:rsidRPr="00E33BCB">
              <w:rPr>
                <w:b/>
                <w:bCs/>
                <w:color w:val="0D0D0D" w:themeColor="text1" w:themeTint="F2"/>
                <w:sz w:val="22"/>
              </w:rPr>
              <w:t>UZUPEŁNIAJĄCE W RAMACH TYPU 1D)</w:t>
            </w:r>
          </w:p>
          <w:p w14:paraId="7184916A" w14:textId="77777777" w:rsidR="00E33BCB" w:rsidRPr="006B7FFA" w:rsidRDefault="00E33BCB" w:rsidP="006B7FFA">
            <w:pPr>
              <w:spacing w:after="0" w:line="276" w:lineRule="auto"/>
              <w:ind w:left="0" w:firstLine="0"/>
              <w:rPr>
                <w:sz w:val="22"/>
              </w:rPr>
            </w:pPr>
          </w:p>
          <w:p w14:paraId="64DCA5BA" w14:textId="34D6BC21" w:rsidR="006D55F5" w:rsidRDefault="006D55F5" w:rsidP="006B7FFA">
            <w:pPr>
              <w:spacing w:after="0" w:line="276" w:lineRule="auto"/>
              <w:ind w:left="0" w:firstLine="0"/>
              <w:rPr>
                <w:b/>
                <w:bCs/>
                <w:color w:val="EE0000"/>
                <w:sz w:val="22"/>
              </w:rPr>
            </w:pPr>
            <w:r w:rsidRPr="006B7FFA">
              <w:rPr>
                <w:sz w:val="22"/>
              </w:rPr>
              <w:t>Działania uzupełniające wskazane w typie 1d)</w:t>
            </w:r>
            <w:r w:rsidR="00E33BCB">
              <w:rPr>
                <w:sz w:val="22"/>
              </w:rPr>
              <w:t xml:space="preserve"> </w:t>
            </w:r>
            <w:r w:rsidR="00E33BCB" w:rsidRPr="00E33BCB">
              <w:rPr>
                <w:b/>
                <w:bCs/>
                <w:color w:val="EE0000"/>
                <w:sz w:val="22"/>
              </w:rPr>
              <w:t>danego klubu</w:t>
            </w:r>
            <w:r w:rsidR="00E33BCB" w:rsidRPr="00E33BCB">
              <w:rPr>
                <w:color w:val="EE0000"/>
                <w:sz w:val="22"/>
              </w:rPr>
              <w:t xml:space="preserve"> </w:t>
            </w:r>
            <w:r w:rsidRPr="00E33BCB">
              <w:rPr>
                <w:b/>
                <w:bCs/>
                <w:sz w:val="22"/>
              </w:rPr>
              <w:t>nie mogą czasowo przeważać nad działaniami zaplanowanymi w ramach typu 1a)</w:t>
            </w:r>
            <w:r w:rsidR="00E33BCB">
              <w:rPr>
                <w:b/>
                <w:bCs/>
                <w:sz w:val="22"/>
              </w:rPr>
              <w:t xml:space="preserve"> </w:t>
            </w:r>
            <w:r w:rsidR="00E33BCB" w:rsidRPr="00E33BCB">
              <w:rPr>
                <w:b/>
                <w:bCs/>
                <w:color w:val="EE0000"/>
                <w:sz w:val="22"/>
              </w:rPr>
              <w:t xml:space="preserve">w </w:t>
            </w:r>
            <w:r w:rsidR="009B489B">
              <w:rPr>
                <w:b/>
                <w:bCs/>
                <w:color w:val="EE0000"/>
                <w:sz w:val="22"/>
              </w:rPr>
              <w:t xml:space="preserve">tym </w:t>
            </w:r>
            <w:r w:rsidR="00E33BCB" w:rsidRPr="00E33BCB">
              <w:rPr>
                <w:b/>
                <w:bCs/>
                <w:color w:val="EE0000"/>
                <w:sz w:val="22"/>
              </w:rPr>
              <w:t xml:space="preserve">klubie. </w:t>
            </w:r>
          </w:p>
          <w:p w14:paraId="39C6FC9E" w14:textId="77777777" w:rsidR="00E33BCB" w:rsidRDefault="00E33BCB" w:rsidP="006B7FFA">
            <w:pPr>
              <w:spacing w:after="0" w:line="276" w:lineRule="auto"/>
              <w:ind w:left="0" w:firstLine="0"/>
              <w:rPr>
                <w:b/>
                <w:bCs/>
                <w:color w:val="EE0000"/>
                <w:sz w:val="22"/>
              </w:rPr>
            </w:pPr>
          </w:p>
          <w:p w14:paraId="2A489861" w14:textId="1C194138" w:rsidR="00E33BCB" w:rsidRPr="00AD1EE3" w:rsidRDefault="00E33BCB" w:rsidP="006B7FFA">
            <w:pPr>
              <w:spacing w:after="0" w:line="276" w:lineRule="auto"/>
              <w:ind w:left="0" w:firstLine="0"/>
              <w:rPr>
                <w:color w:val="0D0D0D" w:themeColor="text1" w:themeTint="F2"/>
                <w:sz w:val="22"/>
              </w:rPr>
            </w:pPr>
            <w:r w:rsidRPr="00AD1EE3">
              <w:rPr>
                <w:color w:val="0D0D0D" w:themeColor="text1" w:themeTint="F2"/>
                <w:sz w:val="22"/>
              </w:rPr>
              <w:t xml:space="preserve">Forma organizacji: </w:t>
            </w:r>
          </w:p>
          <w:p w14:paraId="7C4F2D18" w14:textId="77777777" w:rsidR="00D97FAD" w:rsidRDefault="00E33BCB" w:rsidP="006B7FFA">
            <w:pPr>
              <w:spacing w:after="0" w:line="276" w:lineRule="auto"/>
              <w:ind w:left="0" w:firstLine="0"/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</w:pPr>
            <w:r w:rsidRPr="00E33BC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Zadanie „</w:t>
            </w:r>
            <w:r w:rsidRPr="00E33BCB">
              <w:rPr>
                <w:rFonts w:eastAsia="Times New Roman"/>
                <w:color w:val="0D0D0D" w:themeColor="text1" w:themeTint="F2"/>
                <w:kern w:val="0"/>
                <w:sz w:val="22"/>
                <w:u w:val="single"/>
                <w14:ligatures w14:val="none"/>
              </w:rPr>
              <w:t xml:space="preserve">w” </w:t>
            </w:r>
            <w:r w:rsidRPr="00E33BC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lub „</w:t>
            </w:r>
            <w:r w:rsidRPr="00E33BCB">
              <w:rPr>
                <w:rFonts w:eastAsia="Times New Roman"/>
                <w:color w:val="0D0D0D" w:themeColor="text1" w:themeTint="F2"/>
                <w:kern w:val="0"/>
                <w:sz w:val="22"/>
                <w:u w:val="single"/>
                <w14:ligatures w14:val="none"/>
              </w:rPr>
              <w:t>przy klubie”</w:t>
            </w:r>
            <w:r w:rsidR="009B489B">
              <w:rPr>
                <w:rFonts w:eastAsia="Times New Roman"/>
                <w:color w:val="0D0D0D" w:themeColor="text1" w:themeTint="F2"/>
                <w:kern w:val="0"/>
                <w:sz w:val="22"/>
                <w:u w:val="single"/>
                <w14:ligatures w14:val="none"/>
              </w:rPr>
              <w:t xml:space="preserve"> </w:t>
            </w:r>
            <w:r w:rsidRPr="00E33BC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organizowane przez klub</w:t>
            </w:r>
            <w:r w:rsidR="009B489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 (</w:t>
            </w:r>
            <w:r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klub </w:t>
            </w:r>
            <w:r w:rsidR="00D97FAD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„</w:t>
            </w:r>
            <w:r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zaprasza do siebie</w:t>
            </w:r>
            <w:r w:rsidR="00D97FAD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”</w:t>
            </w:r>
            <w:r w:rsidR="009B489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; </w:t>
            </w:r>
            <w:r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prezentuje efekty działań</w:t>
            </w:r>
            <w:r w:rsidR="00D97FAD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, prezentuje wykonane prace, prezentuje </w:t>
            </w:r>
            <w:r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>swoją ofertę,</w:t>
            </w:r>
            <w:r w:rsidR="00D97FAD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 zasady działania,</w:t>
            </w:r>
            <w:r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 zaprasza </w:t>
            </w:r>
            <w:r w:rsidR="009B489B">
              <w:rPr>
                <w:rFonts w:eastAsia="Times New Roman"/>
                <w:color w:val="0D0D0D" w:themeColor="text1" w:themeTint="F2"/>
                <w:kern w:val="0"/>
                <w:sz w:val="22"/>
                <w14:ligatures w14:val="none"/>
              </w:rPr>
              <w:t xml:space="preserve">najbliższe otoczenie). </w:t>
            </w:r>
          </w:p>
          <w:p w14:paraId="7DA8129D" w14:textId="3626AF76" w:rsidR="00E33BCB" w:rsidRDefault="00D97FAD" w:rsidP="006B7FFA">
            <w:pPr>
              <w:spacing w:after="0" w:line="276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Zadanie takie każdorazowo musi być odpowiednio uzasadnione, w tym należy uzasadnić szacowaną liczbę osób spoza klubu seniora, w tym wskazać powiązania między tymi osobami a uczestnikami projektu.</w:t>
            </w:r>
            <w:r w:rsidR="00AD1EE3">
              <w:rPr>
                <w:sz w:val="22"/>
              </w:rPr>
              <w:t xml:space="preserve"> </w:t>
            </w:r>
          </w:p>
          <w:p w14:paraId="1EEE23DD" w14:textId="77777777" w:rsidR="00AD1EE3" w:rsidRPr="00E33BCB" w:rsidRDefault="00AD1EE3" w:rsidP="006B7FFA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</w:p>
          <w:p w14:paraId="435329BF" w14:textId="5595F963" w:rsidR="00D97FAD" w:rsidRDefault="006D55F5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t xml:space="preserve">Żadne z wydarzeń uzupełniających wskazanych w typie 1d) </w:t>
            </w:r>
            <w:r w:rsidRPr="00AD1EE3">
              <w:rPr>
                <w:b/>
                <w:bCs/>
                <w:color w:val="0D0D0D" w:themeColor="text1" w:themeTint="F2"/>
                <w:sz w:val="22"/>
                <w:u w:val="single"/>
              </w:rPr>
              <w:t>nie może mieć charakteru masowej imprezy, skierowanej do ogółu mieszkańców,</w:t>
            </w:r>
            <w:r w:rsidRPr="00934F84">
              <w:rPr>
                <w:color w:val="0D0D0D" w:themeColor="text1" w:themeTint="F2"/>
                <w:sz w:val="22"/>
                <w:u w:val="single"/>
              </w:rPr>
              <w:t xml:space="preserve"> </w:t>
            </w:r>
            <w:r w:rsidRPr="006B7FFA">
              <w:rPr>
                <w:sz w:val="22"/>
              </w:rPr>
              <w:t xml:space="preserve">w której udział wezmą osoby, które nie mają powiązania z uczestnikami projektu, nie są ich środowiskiem lokalnym, nie mają powiązań rodzinnych, sąsiedzkich, nie stanowią ich grupy wsparcia, nie przyczynią się do pomocy, zaangażowania się w rozwiązanie problemów uczestników projektu, nie nastąpi między nimi wymiana doświadczeń, wzajemna pomoc, edukacja. </w:t>
            </w:r>
          </w:p>
          <w:p w14:paraId="4BCFE935" w14:textId="5E2FA552" w:rsidR="006D55F5" w:rsidRPr="006B7FFA" w:rsidRDefault="006D55F5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lastRenderedPageBreak/>
              <w:t>Koszty związane z organizacją wydarzenia skierowanego do ogółu mieszkańców będą niekwalifikowalne</w:t>
            </w:r>
            <w:r w:rsidR="00934F84">
              <w:rPr>
                <w:sz w:val="22"/>
              </w:rPr>
              <w:t xml:space="preserve"> (</w:t>
            </w:r>
            <w:r w:rsidR="00AD1EE3">
              <w:rPr>
                <w:sz w:val="22"/>
              </w:rPr>
              <w:t xml:space="preserve">potwierdzenie kwalifikowalności będzie miało miejsce na etapie przyznawania wsparcia ale też na etapie rozliczania takich zadań - </w:t>
            </w:r>
            <w:r w:rsidR="00934F84">
              <w:rPr>
                <w:sz w:val="22"/>
              </w:rPr>
              <w:t xml:space="preserve">na etapie </w:t>
            </w:r>
            <w:r w:rsidR="00AD1EE3">
              <w:rPr>
                <w:sz w:val="22"/>
              </w:rPr>
              <w:t xml:space="preserve">weryfikacji </w:t>
            </w:r>
            <w:r w:rsidR="00934F84">
              <w:rPr>
                <w:sz w:val="22"/>
              </w:rPr>
              <w:t xml:space="preserve">wniosku o płatność).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1F65" w14:textId="77777777" w:rsidR="00E33BCB" w:rsidRDefault="00000000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lastRenderedPageBreak/>
              <w:t>do 30% kosztów zadań merytorycznych</w:t>
            </w:r>
          </w:p>
          <w:p w14:paraId="006C5423" w14:textId="77777777" w:rsidR="00E33BCB" w:rsidRDefault="00E33BCB" w:rsidP="006B7FFA">
            <w:pPr>
              <w:spacing w:after="0" w:line="276" w:lineRule="auto"/>
              <w:ind w:left="0" w:firstLine="0"/>
              <w:rPr>
                <w:sz w:val="22"/>
              </w:rPr>
            </w:pPr>
          </w:p>
          <w:p w14:paraId="14271808" w14:textId="7E3B42FB" w:rsidR="00E33BCB" w:rsidRPr="00D97FAD" w:rsidRDefault="00E33BCB" w:rsidP="006B7FFA">
            <w:pPr>
              <w:spacing w:after="0" w:line="276" w:lineRule="auto"/>
              <w:ind w:left="0" w:firstLine="0"/>
              <w:rPr>
                <w:i/>
                <w:iCs/>
                <w:sz w:val="22"/>
              </w:rPr>
            </w:pPr>
            <w:r w:rsidRPr="00D97FAD">
              <w:rPr>
                <w:i/>
                <w:iCs/>
                <w:sz w:val="22"/>
              </w:rPr>
              <w:t xml:space="preserve">dot. projektu </w:t>
            </w:r>
          </w:p>
          <w:p w14:paraId="02327485" w14:textId="1CC87F16" w:rsidR="00EC2C5A" w:rsidRPr="006B7FFA" w:rsidRDefault="00000000" w:rsidP="006B7FFA">
            <w:pPr>
              <w:spacing w:after="0" w:line="276" w:lineRule="auto"/>
              <w:ind w:left="0" w:firstLine="0"/>
              <w:rPr>
                <w:sz w:val="22"/>
              </w:rPr>
            </w:pPr>
            <w:r w:rsidRPr="006B7FFA">
              <w:rPr>
                <w:sz w:val="22"/>
              </w:rPr>
              <w:t xml:space="preserve"> </w:t>
            </w:r>
          </w:p>
        </w:tc>
      </w:tr>
    </w:tbl>
    <w:p w14:paraId="4BDFDFDD" w14:textId="22ADF7EE" w:rsidR="00EC2C5A" w:rsidRPr="006B7FFA" w:rsidRDefault="00EC2C5A" w:rsidP="006B7FFA">
      <w:pPr>
        <w:spacing w:after="0" w:line="276" w:lineRule="auto"/>
        <w:ind w:left="0" w:firstLine="0"/>
        <w:rPr>
          <w:sz w:val="22"/>
        </w:rPr>
      </w:pPr>
    </w:p>
    <w:sectPr w:rsidR="00EC2C5A" w:rsidRPr="006B7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45" w:right="1845" w:bottom="1579" w:left="1416" w:header="203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2157" w14:textId="77777777" w:rsidR="00275087" w:rsidRDefault="00275087">
      <w:pPr>
        <w:spacing w:after="0" w:line="240" w:lineRule="auto"/>
      </w:pPr>
      <w:r>
        <w:separator/>
      </w:r>
    </w:p>
  </w:endnote>
  <w:endnote w:type="continuationSeparator" w:id="0">
    <w:p w14:paraId="087DBF63" w14:textId="77777777" w:rsidR="00275087" w:rsidRDefault="002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30AA" w14:textId="77777777" w:rsidR="00EC2C5A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9BCDB6" w14:textId="77777777" w:rsidR="00EC2C5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EC3F" w14:textId="77777777" w:rsidR="00EC2C5A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60E0F6" w14:textId="77777777" w:rsidR="00EC2C5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A093" w14:textId="77777777" w:rsidR="00EC2C5A" w:rsidRDefault="00000000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2380E5B" w14:textId="77777777" w:rsidR="00EC2C5A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656A" w14:textId="77777777" w:rsidR="00275087" w:rsidRDefault="00275087">
      <w:pPr>
        <w:spacing w:after="0" w:line="240" w:lineRule="auto"/>
      </w:pPr>
      <w:r>
        <w:separator/>
      </w:r>
    </w:p>
  </w:footnote>
  <w:footnote w:type="continuationSeparator" w:id="0">
    <w:p w14:paraId="15032BA1" w14:textId="77777777" w:rsidR="00275087" w:rsidRDefault="0027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5923" w14:textId="77777777" w:rsidR="00EC2C5A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82854C" wp14:editId="27407DE5">
          <wp:simplePos x="0" y="0"/>
          <wp:positionH relativeFrom="page">
            <wp:posOffset>2477135</wp:posOffset>
          </wp:positionH>
          <wp:positionV relativeFrom="page">
            <wp:posOffset>128905</wp:posOffset>
          </wp:positionV>
          <wp:extent cx="5613147" cy="69215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F17B" w14:textId="77777777" w:rsidR="00EC2C5A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2A7708" wp14:editId="536CEA45">
          <wp:simplePos x="0" y="0"/>
          <wp:positionH relativeFrom="page">
            <wp:posOffset>2477135</wp:posOffset>
          </wp:positionH>
          <wp:positionV relativeFrom="page">
            <wp:posOffset>128905</wp:posOffset>
          </wp:positionV>
          <wp:extent cx="5613147" cy="692150"/>
          <wp:effectExtent l="0" t="0" r="0" b="0"/>
          <wp:wrapSquare wrapText="bothSides"/>
          <wp:docPr id="461830726" name="Picture 11" descr="pasek logotyów środków unij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830726" name="Picture 11" descr="pasek logotyów środków unijnyc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AE04" w14:textId="77777777" w:rsidR="00EC2C5A" w:rsidRDefault="00000000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C129B8B" wp14:editId="30E60128">
          <wp:simplePos x="0" y="0"/>
          <wp:positionH relativeFrom="page">
            <wp:posOffset>2477135</wp:posOffset>
          </wp:positionH>
          <wp:positionV relativeFrom="page">
            <wp:posOffset>128905</wp:posOffset>
          </wp:positionV>
          <wp:extent cx="5613147" cy="692150"/>
          <wp:effectExtent l="0" t="0" r="0" b="0"/>
          <wp:wrapSquare wrapText="bothSides"/>
          <wp:docPr id="19585059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147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3FB6"/>
    <w:multiLevelType w:val="hybridMultilevel"/>
    <w:tmpl w:val="F39C697A"/>
    <w:lvl w:ilvl="0" w:tplc="F626AF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4418E">
      <w:start w:val="1"/>
      <w:numFmt w:val="lowerLetter"/>
      <w:lvlText w:val="%2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41F92">
      <w:start w:val="1"/>
      <w:numFmt w:val="lowerLetter"/>
      <w:lvlRestart w:val="0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6BC42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A42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A2274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8F07C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06730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8E5A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15C10"/>
    <w:multiLevelType w:val="hybridMultilevel"/>
    <w:tmpl w:val="34B46932"/>
    <w:lvl w:ilvl="0" w:tplc="1A0C99D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EAB20">
      <w:start w:val="1"/>
      <w:numFmt w:val="lowerLetter"/>
      <w:lvlText w:val="%2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4E5BE">
      <w:start w:val="1"/>
      <w:numFmt w:val="lowerRoman"/>
      <w:lvlText w:val="%3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01BE4">
      <w:start w:val="1"/>
      <w:numFmt w:val="decimal"/>
      <w:lvlText w:val="%4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0E95A">
      <w:start w:val="1"/>
      <w:numFmt w:val="lowerLetter"/>
      <w:lvlText w:val="%5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C27CA">
      <w:start w:val="1"/>
      <w:numFmt w:val="lowerRoman"/>
      <w:lvlText w:val="%6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6443C">
      <w:start w:val="1"/>
      <w:numFmt w:val="decimal"/>
      <w:lvlText w:val="%7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64576">
      <w:start w:val="1"/>
      <w:numFmt w:val="lowerLetter"/>
      <w:lvlText w:val="%8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E378C">
      <w:start w:val="1"/>
      <w:numFmt w:val="lowerRoman"/>
      <w:lvlText w:val="%9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3597267">
    <w:abstractNumId w:val="1"/>
  </w:num>
  <w:num w:numId="2" w16cid:durableId="101843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5A"/>
    <w:rsid w:val="00007211"/>
    <w:rsid w:val="00055B1A"/>
    <w:rsid w:val="00067DDB"/>
    <w:rsid w:val="000B044B"/>
    <w:rsid w:val="000E1E65"/>
    <w:rsid w:val="001D3CC0"/>
    <w:rsid w:val="00275087"/>
    <w:rsid w:val="002D0EA3"/>
    <w:rsid w:val="00317868"/>
    <w:rsid w:val="0039397F"/>
    <w:rsid w:val="003C6835"/>
    <w:rsid w:val="004A0EEA"/>
    <w:rsid w:val="004B0684"/>
    <w:rsid w:val="00590527"/>
    <w:rsid w:val="005C055E"/>
    <w:rsid w:val="006B7FFA"/>
    <w:rsid w:val="006D55F5"/>
    <w:rsid w:val="006F1A22"/>
    <w:rsid w:val="008C39D5"/>
    <w:rsid w:val="008D6023"/>
    <w:rsid w:val="00934F84"/>
    <w:rsid w:val="00957819"/>
    <w:rsid w:val="009B489B"/>
    <w:rsid w:val="009D16D6"/>
    <w:rsid w:val="009E4F51"/>
    <w:rsid w:val="00AD1EE3"/>
    <w:rsid w:val="00B01CA8"/>
    <w:rsid w:val="00B05962"/>
    <w:rsid w:val="00BF210E"/>
    <w:rsid w:val="00BF33D0"/>
    <w:rsid w:val="00C36264"/>
    <w:rsid w:val="00CA5A81"/>
    <w:rsid w:val="00D97FAD"/>
    <w:rsid w:val="00DE605F"/>
    <w:rsid w:val="00E33BCB"/>
    <w:rsid w:val="00EC2C5A"/>
    <w:rsid w:val="00F82D81"/>
    <w:rsid w:val="00F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20BD3"/>
  <w15:docId w15:val="{C3836097-9CA7-4FFC-B422-1DA1767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388" w:lineRule="auto"/>
      <w:ind w:left="370" w:hanging="37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1CAA-7397-4AB4-996F-B88C38C7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cp:lastModifiedBy>ILONA LINCZOWSKA</cp:lastModifiedBy>
  <cp:revision>9</cp:revision>
  <dcterms:created xsi:type="dcterms:W3CDTF">2024-11-20T16:31:00Z</dcterms:created>
  <dcterms:modified xsi:type="dcterms:W3CDTF">2026-07-21T08:45:00Z</dcterms:modified>
</cp:coreProperties>
</file>